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User Interface Gating</w:t>
      </w:r>
    </w:p>
    <w:p>
      <w:pPr>
        <w:pStyle w:val="Subtitle"/>
      </w:pPr>
      <w:r>
        <w:t xml:space="preserve">Standard Operating Procedure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2026-05-01</w:t>
      </w:r>
    </w:p>
    <w:bookmarkStart w:id="34" w:name="enki-user-interface-gating"/>
    <w:p>
      <w:pPr>
        <w:pStyle w:val="Heading1"/>
      </w:pPr>
      <w:r>
        <w:t xml:space="preserve">Enki — User Interface Gating</w:t>
      </w:r>
    </w:p>
    <w:p>
      <w:pPr>
        <w:pStyle w:val="FirstParagraph"/>
      </w:pPr>
      <w:r>
        <w:rPr>
          <w:b/>
          <w:bCs/>
        </w:rPr>
        <w:t xml:space="preserve">Standard Operating 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SDI-ENG-SOP-003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(draft)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 — KingOfTheGeeks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organization</w:t>
            </w:r>
          </w:p>
        </w:tc>
        <w:tc>
          <w:tcPr/>
          <w:p>
            <w:pPr>
              <w:pStyle w:val="Compact"/>
            </w:pPr>
            <w:r>
              <w:t xml:space="preserve">SDI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— pending client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repo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https://github.com/KingOfTheGeeks/Enki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Related SOP</w:t>
            </w:r>
          </w:p>
        </w:tc>
        <w:tc>
          <w:tcPr/>
          <w:p>
            <w:pPr>
              <w:pStyle w:val="Compact"/>
            </w:pPr>
            <w:r>
              <w:t xml:space="preserve">SDI-ENG-SOP-002 (Authorization Redesign)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a.-purpose"/>
    <w:p>
      <w:pPr>
        <w:pStyle w:val="Heading2"/>
      </w:pPr>
      <w:r>
        <w:t xml:space="preserve">A. Purpose</w:t>
      </w:r>
    </w:p>
    <w:p>
      <w:pPr>
        <w:pStyle w:val="FirstParagraph"/>
      </w:pPr>
      <w:r>
        <w:t xml:space="preserve">This Standard Operating Procedure documents how the Enki user interface adapts to each user’s role and permissions — what menus, buttons, and form controls each persona will see, and how the application responds when a user navigates to a page they are not authorized to view.</w:t>
      </w:r>
    </w:p>
    <w:p>
      <w:pPr>
        <w:pStyle w:val="BodyText"/>
      </w:pPr>
      <w:r>
        <w:t xml:space="preserve">It is intended for client review of the user-interface behavior changes being introduced alongside the authorization redesign (SDI-ENG-SOP-002). It is the authoritative reference for</w:t>
      </w:r>
      <w:r>
        <w:t xml:space="preserve"> </w:t>
      </w:r>
      <w:r>
        <w:t xml:space="preserve">“what will my users see when they sign in?”</w:t>
      </w:r>
      <w:r>
        <w:t xml:space="preserve">.</w:t>
      </w:r>
    </w:p>
    <w:bookmarkEnd w:id="10"/>
    <w:bookmarkStart w:id="11" w:name="b.-scope"/>
    <w:p>
      <w:pPr>
        <w:pStyle w:val="Heading2"/>
      </w:pPr>
      <w:r>
        <w:t xml:space="preserve">B.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every authorization-sensitive interface element in the Blazor Server web application — navigation menus, page-level access, action buttons, form fields, and the access-denied response when a user reaches a page their role does not permit.</w:t>
      </w:r>
    </w:p>
    <w:p>
      <w:pPr>
        <w:pStyle w:val="BodyText"/>
      </w:pPr>
      <w:r>
        <w:rPr>
          <w:b/>
          <w:bCs/>
        </w:rPr>
        <w:t xml:space="preserve">Out of scope:</w:t>
      </w:r>
      <w:r>
        <w:t xml:space="preserve"> </w:t>
      </w:r>
      <w:r>
        <w:t xml:space="preserve">field-side desktop tools (Esagila), the licensing-asset packaging tool (Nabu), any external integrations consuming Enki’s REST API.</w:t>
      </w:r>
    </w:p>
    <w:p>
      <w:pPr>
        <w:pStyle w:val="BodyText"/>
      </w:pPr>
      <w:r>
        <w:rPr>
          <w:b/>
          <w:bCs/>
        </w:rPr>
        <w:t xml:space="preserve">Audience:</w:t>
      </w:r>
      <w:r>
        <w:t xml:space="preserve"> </w:t>
      </w:r>
      <w:r>
        <w:t xml:space="preserve">SDI engineering, client end users, client administrators, training and onboarding personnel.</w:t>
      </w:r>
    </w:p>
    <w:bookmarkEnd w:id="11"/>
    <w:bookmarkStart w:id="12" w:name="c.-responsibilities"/>
    <w:p>
      <w:pPr>
        <w:pStyle w:val="Heading2"/>
      </w:pPr>
      <w:r>
        <w:t xml:space="preserve">C.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Administrator</w:t>
            </w:r>
          </w:p>
        </w:tc>
        <w:tc>
          <w:tcPr/>
          <w:p>
            <w:pPr>
              <w:pStyle w:val="Compact"/>
            </w:pPr>
            <w:r>
              <w:t xml:space="preserve">Validates that the navigation menu and admin pages render as documented for the admin persona; signs off the GUI gating contract.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operators (per persona)</w:t>
            </w:r>
          </w:p>
        </w:tc>
        <w:tc>
          <w:tcPr/>
          <w:p>
            <w:pPr>
              <w:pStyle w:val="Compact"/>
            </w:pPr>
            <w:r>
              <w:t xml:space="preserve">Sign in as each persona type (Field, Office, Supervisor, Tenant); confirm visible elements match this SOP.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onboarding</w:t>
            </w:r>
          </w:p>
        </w:tc>
        <w:tc>
          <w:tcPr/>
          <w:p>
            <w:pPr>
              <w:pStyle w:val="Compact"/>
            </w:pPr>
            <w:r>
              <w:t xml:space="preserve">Use this SOP as the basis for end-user training material.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d.-interface-gating-principles"/>
    <w:p>
      <w:pPr>
        <w:pStyle w:val="Heading2"/>
      </w:pPr>
      <w:r>
        <w:t xml:space="preserve">D. Interface gating principles</w:t>
      </w:r>
    </w:p>
    <w:p>
      <w:pPr>
        <w:pStyle w:val="FirstParagraph"/>
      </w:pPr>
      <w:r>
        <w:t xml:space="preserve">The Enki user interface follows three principles for permission-sensitive elements:</w:t>
      </w:r>
    </w:p>
    <w:bookmarkStart w:id="13" w:name="d.1-hide-dont-disable"/>
    <w:p>
      <w:pPr>
        <w:pStyle w:val="Heading3"/>
      </w:pPr>
      <w:r>
        <w:t xml:space="preserve">D.1 Hide, don’t disable</w:t>
      </w:r>
    </w:p>
    <w:p>
      <w:pPr>
        <w:pStyle w:val="FirstParagraph"/>
      </w:pPr>
      <w:r>
        <w:t xml:space="preserve">Controls a user can never use are</w:t>
      </w:r>
      <w:r>
        <w:t xml:space="preserve"> </w:t>
      </w:r>
      <w:r>
        <w:rPr>
          <w:b/>
          <w:bCs/>
        </w:rPr>
        <w:t xml:space="preserve">hidden from the interface entirely</w:t>
      </w:r>
      <w:r>
        <w:t xml:space="preserve">. Disabled-with-tooltip is reserved for cases where the action could be granted to the user but is currently blocked by some state (for example, a</w:t>
      </w:r>
      <w:r>
        <w:t xml:space="preserve"> </w:t>
      </w:r>
      <w:r>
        <w:t xml:space="preserve">“Delete”</w:t>
      </w:r>
      <w:r>
        <w:t xml:space="preserve"> </w:t>
      </w:r>
      <w:r>
        <w:t xml:space="preserve">button disabled because the row has dependent records).</w:t>
      </w:r>
    </w:p>
    <w:p>
      <w:pPr>
        <w:pStyle w:val="BodyText"/>
      </w:pPr>
      <w:r>
        <w:t xml:space="preserve">This keeps the interface uncluttered and avoids surfacing elements that imply the user could access them.</w:t>
      </w:r>
    </w:p>
    <w:bookmarkEnd w:id="13"/>
    <w:bookmarkStart w:id="14" w:name="Xb6014fac4cfa119e78307e0771c51fb3dfc79df"/>
    <w:p>
      <w:pPr>
        <w:pStyle w:val="Heading3"/>
      </w:pPr>
      <w:r>
        <w:t xml:space="preserve">D.2 The user interface is convenience; the API is security</w:t>
      </w:r>
    </w:p>
    <w:p>
      <w:pPr>
        <w:pStyle w:val="FirstParagraph"/>
      </w:pPr>
      <w:r>
        <w:t xml:space="preserve">Hidden buttons are a usability feature. The actual security enforcement happens at the API: a user who manually crafts a request to an endpoint they cannot access receives a clean refusal (</w:t>
      </w:r>
      <w:r>
        <w:rPr>
          <w:rStyle w:val="VerbatimChar"/>
        </w:rPr>
        <w:t xml:space="preserve">403 Forbidden</w:t>
      </w:r>
      <w:r>
        <w:t xml:space="preserve">). The user interface and the API never disagree on what is allowed — both reference the same authorization rules.</w:t>
      </w:r>
    </w:p>
    <w:bookmarkEnd w:id="14"/>
    <w:bookmarkStart w:id="15" w:name="d.3-no-you-dont-have-permission-tooltips"/>
    <w:p>
      <w:pPr>
        <w:pStyle w:val="Heading3"/>
      </w:pPr>
      <w:r>
        <w:t xml:space="preserve">D.3 No</w:t>
      </w:r>
      <w:r>
        <w:t xml:space="preserve"> </w:t>
      </w:r>
      <w:r>
        <w:t xml:space="preserve">“you don’t have permission”</w:t>
      </w:r>
      <w:r>
        <w:t xml:space="preserve"> </w:t>
      </w:r>
      <w:r>
        <w:t xml:space="preserve">tooltips</w:t>
      </w:r>
    </w:p>
    <w:p>
      <w:pPr>
        <w:pStyle w:val="FirstParagraph"/>
      </w:pPr>
      <w:r>
        <w:t xml:space="preserve">Permission-related tooltips on every hidden element would clutter the interface and surface implementation details unnecessarily. The system trusts that users granted access to a function know how to use it. Pages they cannot access render an explicit</w:t>
      </w:r>
      <w:r>
        <w:t xml:space="preserve"> </w:t>
      </w:r>
      <w:r>
        <w:t xml:space="preserve">“Access denied”</w:t>
      </w:r>
      <w:r>
        <w:t xml:space="preserve"> </w:t>
      </w:r>
      <w:r>
        <w:t xml:space="preserve">message (section F).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0" w:name="e.-page-by-page-visibility-matrix"/>
    <w:p>
      <w:pPr>
        <w:pStyle w:val="Heading2"/>
      </w:pPr>
      <w:r>
        <w:t xml:space="preserve">E. Page-by-page visibility matrix</w:t>
      </w:r>
    </w:p>
    <w:bookmarkStart w:id="17" w:name="e.1-navigation-menu-sidebar-topbar"/>
    <w:p>
      <w:pPr>
        <w:pStyle w:val="Heading3"/>
      </w:pPr>
      <w:r>
        <w:t xml:space="preserve">E.1 Navigation menu (sidebar / topbar)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1200"/>
        <w:gridCol w:w="120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Menu item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Tenants list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(only their bound tenant)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Tools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Master Calibrations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Master Licenses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Tenant settings (per-tenant)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Tenant member management (per-tenant)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 → Users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 → System settings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Admin → Audit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bookmarkEnd w:id="17"/>
    <w:bookmarkStart w:id="21" w:name="X554734d90430bb5b06c13fbd64cdaf67a9119e1"/>
    <w:p>
      <w:pPr>
        <w:pStyle w:val="Heading3"/>
      </w:pPr>
      <w:r>
        <w:t xml:space="preserve">E.2 Per-page action visibility — admin pages</w:t>
      </w:r>
    </w:p>
    <w:bookmarkStart w:id="18" w:name="adminusers-user-list"/>
    <w:p>
      <w:pPr>
        <w:pStyle w:val="Heading4"/>
      </w:pPr>
      <w:r>
        <w:rPr>
          <w:rStyle w:val="VerbatimChar"/>
        </w:rPr>
        <w:t xml:space="preserve">/admin/users</w:t>
      </w:r>
      <w:r>
        <w:t xml:space="preserve"> </w:t>
      </w:r>
      <w:r>
        <w:t xml:space="preserve">(User list)</w:t>
      </w:r>
    </w:p>
    <w:p>
      <w:pPr>
        <w:pStyle w:val="FirstParagraph"/>
      </w:pPr>
      <w:r>
        <w:t xml:space="preserve">Admin only. Includes a</w:t>
      </w:r>
      <w:r>
        <w:t xml:space="preserve"> </w:t>
      </w:r>
      <w:r>
        <w:rPr>
          <w:rStyle w:val="VerbatimChar"/>
        </w:rPr>
        <w:t xml:space="preserve">+ New user</w:t>
      </w:r>
      <w:r>
        <w:t xml:space="preserve"> </w:t>
      </w:r>
      <w:r>
        <w:t xml:space="preserve">button.</w:t>
      </w:r>
    </w:p>
    <w:bookmarkEnd w:id="18"/>
    <w:bookmarkStart w:id="19" w:name="adminusersid-user-detail"/>
    <w:p>
      <w:pPr>
        <w:pStyle w:val="Heading4"/>
      </w:pPr>
      <w:r>
        <w:rPr>
          <w:rStyle w:val="VerbatimChar"/>
        </w:rPr>
        <w:t xml:space="preserve">/admin/users/{id}</w:t>
      </w:r>
      <w:r>
        <w:t xml:space="preserve"> </w:t>
      </w:r>
      <w:r>
        <w:t xml:space="preserve">(User detail)</w:t>
      </w:r>
    </w:p>
    <w:p>
      <w:pPr>
        <w:pStyle w:val="FirstParagraph"/>
      </w:pPr>
      <w:r>
        <w:t xml:space="preserve">Page itself: System Administrator only.</w:t>
      </w:r>
    </w:p>
    <w:p>
      <w:pPr>
        <w:pStyle w:val="BodyText"/>
      </w:pPr>
      <w:r>
        <w:t xml:space="preserve">Within the page, action availability depends on the</w:t>
      </w:r>
      <w:r>
        <w:t xml:space="preserve"> </w:t>
      </w:r>
      <w:r>
        <w:rPr>
          <w:b/>
          <w:bCs/>
        </w:rPr>
        <w:t xml:space="preserve">target user’s</w:t>
      </w:r>
      <w:r>
        <w:t xml:space="preserve"> </w:t>
      </w:r>
      <w:r>
        <w:t xml:space="preserve">UserType: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When target is 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When target is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profile (UserName / Email / Names)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OR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classification (TeamSubtype, Tenant binding)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OR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 password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OR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 / Unlock account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OR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session lifetime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OR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/ Revoke admin 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(always disabled — Tenant users cannot be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Grant / Revoke capability claim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(always disabled — Tenant users cannot hold capabilities)</w:t>
            </w:r>
          </w:p>
        </w:tc>
      </w:tr>
    </w:tbl>
    <w:bookmarkEnd w:id="19"/>
    <w:bookmarkStart w:id="20" w:name="adminusersnew-create-user"/>
    <w:p>
      <w:pPr>
        <w:pStyle w:val="Heading4"/>
      </w:pPr>
      <w:r>
        <w:rPr>
          <w:rStyle w:val="VerbatimChar"/>
        </w:rPr>
        <w:t xml:space="preserve">/admin/users/new</w:t>
      </w:r>
      <w:r>
        <w:t xml:space="preserve"> </w:t>
      </w:r>
      <w:r>
        <w:t xml:space="preserve">(Create user)</w:t>
      </w:r>
    </w:p>
    <w:p>
      <w:pPr>
        <w:pStyle w:val="FirstParagraph"/>
      </w:pPr>
      <w:r>
        <w:t xml:space="preserve">Page itself: visible to Admin and Office. Office users see only the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option in the user-type selector — the</w:t>
      </w:r>
      <w:r>
        <w:t xml:space="preserve"> </w:t>
      </w:r>
      <w:r>
        <w:rPr>
          <w:b/>
          <w:bCs/>
        </w:rPr>
        <w:t xml:space="preserve">Team</w:t>
      </w:r>
      <w:r>
        <w:t xml:space="preserve"> </w:t>
      </w:r>
      <w:r>
        <w:t xml:space="preserve">option is hidden. Admin users see both.</w:t>
      </w:r>
    </w:p>
    <w:bookmarkEnd w:id="20"/>
    <w:bookmarkEnd w:id="21"/>
    <w:bookmarkStart w:id="27" w:name="Xc69d7b425afe56dbadaf2e14ef07f2b58d7dd4b"/>
    <w:p>
      <w:pPr>
        <w:pStyle w:val="Heading3"/>
      </w:pPr>
      <w:r>
        <w:t xml:space="preserve">E.3 Per-page action visibility — master pages</w:t>
      </w:r>
    </w:p>
    <w:bookmarkStart w:id="22" w:name="tenants-tenants-list"/>
    <w:p>
      <w:pPr>
        <w:pStyle w:val="Heading4"/>
      </w:pPr>
      <w:r>
        <w:rPr>
          <w:rStyle w:val="VerbatimChar"/>
        </w:rPr>
        <w:t xml:space="preserve">/tenants</w:t>
      </w:r>
      <w:r>
        <w:t xml:space="preserve"> </w:t>
      </w:r>
      <w:r>
        <w:t xml:space="preserve">(Tenants list)</w:t>
      </w:r>
    </w:p>
    <w:p>
      <w:pPr>
        <w:pStyle w:val="FirstParagraph"/>
      </w:pPr>
      <w:r>
        <w:t xml:space="preserve">Visible to everyone signed in (Team users).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Provision tenant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Deactivate / Reactivate / Archive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Edit settings</w:t>
            </w:r>
          </w:p>
        </w:tc>
        <w:tc>
          <w:tcPr/>
          <w:p>
            <w:pPr>
              <w:pStyle w:val="Compact"/>
            </w:pPr>
            <w:r>
              <w:t xml:space="preserve">Office, Supervisor, Admin</w:t>
            </w:r>
          </w:p>
        </w:tc>
      </w:tr>
    </w:tbl>
    <w:bookmarkEnd w:id="22"/>
    <w:bookmarkStart w:id="23" w:name="tenantscode-tenant-detail"/>
    <w:p>
      <w:pPr>
        <w:pStyle w:val="Heading4"/>
      </w:pPr>
      <w:r>
        <w:rPr>
          <w:rStyle w:val="VerbatimChar"/>
        </w:rPr>
        <w:t xml:space="preserve">/tenants/{code}</w:t>
      </w:r>
      <w:r>
        <w:t xml:space="preserve"> </w:t>
      </w:r>
      <w:r>
        <w:t xml:space="preserve">(Tenant detail)</w:t>
      </w:r>
    </w:p>
    <w:p>
      <w:pPr>
        <w:pStyle w:val="FirstParagraph"/>
      </w:pPr>
      <w:r>
        <w:t xml:space="preserve">Visible to: tenant members, plus Admin.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settings</w:t>
            </w:r>
          </w:p>
        </w:tc>
        <w:tc>
          <w:tcPr/>
          <w:p>
            <w:pPr>
              <w:pStyle w:val="Compact"/>
            </w:pPr>
            <w:r>
              <w:t xml:space="preserve">Office, Supervisor,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Deactivate / Reactivate / Archive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 members (link)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</w:tr>
    </w:tbl>
    <w:bookmarkEnd w:id="23"/>
    <w:bookmarkStart w:id="24" w:name="tenantscodemembers-tenant-members"/>
    <w:p>
      <w:pPr>
        <w:pStyle w:val="Heading4"/>
      </w:pPr>
      <w:r>
        <w:rPr>
          <w:rStyle w:val="VerbatimChar"/>
        </w:rPr>
        <w:t xml:space="preserve">/tenants/{code}/members</w:t>
      </w:r>
      <w:r>
        <w:t xml:space="preserve"> </w:t>
      </w:r>
      <w:r>
        <w:t xml:space="preserve">(Tenant members)</w:t>
      </w:r>
    </w:p>
    <w:p>
      <w:pPr>
        <w:pStyle w:val="FirstParagraph"/>
      </w:pPr>
      <w:r>
        <w:t xml:space="preserve">Visible to: tenant members, plus Admin. Member list always shown.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Visible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Add member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Remove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</w:tr>
    </w:tbl>
    <w:bookmarkEnd w:id="24"/>
    <w:bookmarkStart w:id="25" w:name="tools-and-calibrations-master-fleet"/>
    <w:p>
      <w:pPr>
        <w:pStyle w:val="Heading4"/>
      </w:pPr>
      <w:r>
        <w:rPr>
          <w:rStyle w:val="VerbatimChar"/>
        </w:rPr>
        <w:t xml:space="preserve">/tools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/calibrations</w:t>
      </w:r>
      <w:r>
        <w:t xml:space="preserve"> </w:t>
      </w:r>
      <w:r>
        <w:t xml:space="preserve">(master fleet)</w:t>
      </w:r>
    </w:p>
    <w:p>
      <w:pPr>
        <w:pStyle w:val="FirstParagraph"/>
      </w:pPr>
      <w:r>
        <w:t xml:space="preserve">Visible to everyone signed in (Team users).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Calibrations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New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  <w:tc>
          <w:tcPr/>
          <w:p>
            <w:pPr>
              <w:pStyle w:val="Compact"/>
            </w:pPr>
            <w:r>
              <w:t xml:space="preserve">Office, Supervisor,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Edit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  <w:tc>
          <w:tcPr/>
          <w:p>
            <w:pPr>
              <w:pStyle w:val="Compact"/>
            </w:pPr>
            <w:r>
              <w:t xml:space="preserve">Office, Supervisor,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Per-row Delete</w:t>
            </w:r>
          </w:p>
        </w:tc>
        <w:tc>
          <w:tcPr/>
          <w:p>
            <w:pPr>
              <w:pStyle w:val="Compact"/>
            </w:pPr>
            <w:r>
              <w:t xml:space="preserve">Supervisor, Admin</w:t>
            </w:r>
          </w:p>
        </w:tc>
        <w:tc>
          <w:tcPr/>
          <w:p>
            <w:pPr>
              <w:pStyle w:val="Compact"/>
            </w:pPr>
            <w:r>
              <w:t xml:space="preserve">Office, Supervisor, Admin</w:t>
            </w:r>
          </w:p>
        </w:tc>
      </w:tr>
    </w:tbl>
    <w:bookmarkEnd w:id="25"/>
    <w:bookmarkStart w:id="26" w:name="licenses-license-generation"/>
    <w:p>
      <w:pPr>
        <w:pStyle w:val="Heading4"/>
      </w:pPr>
      <w:r>
        <w:rPr>
          <w:rStyle w:val="VerbatimChar"/>
        </w:rPr>
        <w:t xml:space="preserve">/licenses</w:t>
      </w:r>
      <w:r>
        <w:t xml:space="preserve"> </w:t>
      </w:r>
      <w:r>
        <w:t xml:space="preserve">(License generation)</w:t>
      </w:r>
    </w:p>
    <w:p>
      <w:pPr>
        <w:pStyle w:val="FirstParagraph"/>
      </w:pPr>
      <w:r>
        <w:t xml:space="preserve">Page itself: visible to Supervisor, Admin, and any user holding the</w:t>
      </w:r>
      <w:r>
        <w:t xml:space="preserve"> </w:t>
      </w:r>
      <w:r>
        <w:rPr>
          <w:b/>
          <w:bCs/>
        </w:rPr>
        <w:t xml:space="preserve">Licensing</w:t>
      </w:r>
      <w:r>
        <w:t xml:space="preserve"> </w:t>
      </w:r>
      <w:r>
        <w:t xml:space="preserve">capability claim.</w:t>
      </w:r>
    </w:p>
    <w:p>
      <w:pPr>
        <w:pStyle w:val="BodyText"/>
      </w:pPr>
      <w:r>
        <w:t xml:space="preserve">All write actions on the page (Generate, Revoke, Download</w:t>
      </w:r>
      <w:r>
        <w:t xml:space="preserve"> </w:t>
      </w:r>
      <w:r>
        <w:rPr>
          <w:rStyle w:val="VerbatimChar"/>
        </w:rPr>
        <w:t xml:space="preserve">.lic</w:t>
      </w:r>
      <w:r>
        <w:t xml:space="preserve">, Download key.txt) follow the same gate.</w:t>
      </w:r>
    </w:p>
    <w:bookmarkEnd w:id="26"/>
    <w:bookmarkEnd w:id="27"/>
    <w:bookmarkStart w:id="28" w:name="X9abeee22b758ece37d977f704deeae516bf7f63"/>
    <w:p>
      <w:pPr>
        <w:pStyle w:val="Heading3"/>
      </w:pPr>
      <w:r>
        <w:t xml:space="preserve">E.4 Per-page action visibility — tenant data pages</w:t>
      </w:r>
    </w:p>
    <w:p>
      <w:pPr>
        <w:pStyle w:val="FirstParagraph"/>
      </w:pPr>
      <w:r>
        <w:t xml:space="preserve">The following pages share a uniform shape:</w:t>
      </w:r>
    </w:p>
    <w:p>
      <w:pPr>
        <w:pStyle w:val="Compact"/>
        <w:numPr>
          <w:ilvl w:val="0"/>
          <w:numId w:val="1001"/>
        </w:numPr>
      </w:pPr>
      <w:r>
        <w:t xml:space="preserve">Jobs</w:t>
      </w:r>
    </w:p>
    <w:p>
      <w:pPr>
        <w:pStyle w:val="Compact"/>
        <w:numPr>
          <w:ilvl w:val="0"/>
          <w:numId w:val="1001"/>
        </w:numPr>
      </w:pPr>
      <w:r>
        <w:t xml:space="preserve">Wells</w:t>
      </w:r>
    </w:p>
    <w:p>
      <w:pPr>
        <w:pStyle w:val="Compact"/>
        <w:numPr>
          <w:ilvl w:val="0"/>
          <w:numId w:val="1001"/>
        </w:numPr>
      </w:pPr>
      <w:r>
        <w:t xml:space="preserve">Tie-Ons</w:t>
      </w:r>
    </w:p>
    <w:p>
      <w:pPr>
        <w:pStyle w:val="Compact"/>
        <w:numPr>
          <w:ilvl w:val="0"/>
          <w:numId w:val="1001"/>
        </w:numPr>
      </w:pPr>
      <w:r>
        <w:t xml:space="preserve">Surveys</w:t>
      </w:r>
    </w:p>
    <w:p>
      <w:pPr>
        <w:pStyle w:val="Compact"/>
        <w:numPr>
          <w:ilvl w:val="0"/>
          <w:numId w:val="1001"/>
        </w:numPr>
      </w:pPr>
      <w:r>
        <w:t xml:space="preserve">Tubulars</w:t>
      </w:r>
    </w:p>
    <w:p>
      <w:pPr>
        <w:pStyle w:val="Compact"/>
        <w:numPr>
          <w:ilvl w:val="0"/>
          <w:numId w:val="1001"/>
        </w:numPr>
      </w:pPr>
      <w:r>
        <w:t xml:space="preserve">Formations</w:t>
      </w:r>
    </w:p>
    <w:p>
      <w:pPr>
        <w:pStyle w:val="Compact"/>
        <w:numPr>
          <w:ilvl w:val="0"/>
          <w:numId w:val="1001"/>
        </w:numPr>
      </w:pPr>
      <w:r>
        <w:t xml:space="preserve">Common Measures</w:t>
      </w:r>
    </w:p>
    <w:p>
      <w:pPr>
        <w:pStyle w:val="Compact"/>
        <w:numPr>
          <w:ilvl w:val="0"/>
          <w:numId w:val="1001"/>
        </w:numPr>
      </w:pPr>
      <w:r>
        <w:t xml:space="preserve">Magnetics</w:t>
      </w:r>
    </w:p>
    <w:p>
      <w:pPr>
        <w:pStyle w:val="Compact"/>
        <w:numPr>
          <w:ilvl w:val="0"/>
          <w:numId w:val="1001"/>
        </w:numPr>
      </w:pPr>
      <w:r>
        <w:t xml:space="preserve">Logs</w:t>
      </w:r>
    </w:p>
    <w:p>
      <w:pPr>
        <w:pStyle w:val="Compact"/>
        <w:numPr>
          <w:ilvl w:val="0"/>
          <w:numId w:val="1001"/>
        </w:numPr>
      </w:pPr>
      <w:r>
        <w:t xml:space="preserve">Comments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(page + grid)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(bound tenant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Add new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Per-row Edit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Per-row Delete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99a38cd5a9ebb94ed1efe64dfe74bfd4f3b5c32"/>
    <w:p>
      <w:pPr>
        <w:pStyle w:val="Heading3"/>
      </w:pPr>
      <w:r>
        <w:t xml:space="preserve">E.5 Per-page action visibility — Runs and Shots</w:t>
      </w:r>
    </w:p>
    <w:p>
      <w:pPr>
        <w:pStyle w:val="FirstParagraph"/>
      </w:pPr>
      <w:r>
        <w:t xml:space="preserve">These two pages have wider write access because Runs are the operational artefact of field engineers’ work.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8"/>
        <w:gridCol w:w="1414"/>
        <w:gridCol w:w="1414"/>
        <w:gridCol w:w="1414"/>
        <w:gridCol w:w="1414"/>
        <w:gridCol w:w="14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(page + grid)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(bound tenant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write actions (</w:t>
            </w:r>
            <w:r>
              <w:rPr>
                <w:rStyle w:val="VerbatimChar"/>
              </w:rPr>
              <w:t xml:space="preserve">+ Add</w:t>
            </w:r>
            <w:r>
              <w:t xml:space="preserve">, Edit, Delete, bin upload)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 (bound tenant only)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f.-access-denied-behavior"/>
    <w:p>
      <w:pPr>
        <w:pStyle w:val="Heading2"/>
      </w:pPr>
      <w:r>
        <w:t xml:space="preserve">F. Access-denied behavior</w:t>
      </w:r>
    </w:p>
    <w:p>
      <w:pPr>
        <w:pStyle w:val="FirstParagraph"/>
      </w:pPr>
      <w:r>
        <w:t xml:space="preserve">When a user navigates directly to a URL their role does not permit (for example, by clicking a link in a bookmark or an email):</w:t>
      </w:r>
    </w:p>
    <w:p>
      <w:pPr>
        <w:pStyle w:val="Compact"/>
        <w:numPr>
          <w:ilvl w:val="0"/>
          <w:numId w:val="1002"/>
        </w:numPr>
      </w:pPr>
      <w:r>
        <w:t xml:space="preserve">A dedicated</w:t>
      </w:r>
      <w:r>
        <w:t xml:space="preserve"> </w:t>
      </w:r>
      <w:r>
        <w:rPr>
          <w:rStyle w:val="VerbatimChar"/>
          <w:b/>
          <w:bCs/>
        </w:rPr>
        <w:t xml:space="preserve">/forbidden</w:t>
      </w:r>
      <w:r>
        <w:t xml:space="preserve"> </w:t>
      </w:r>
      <w:r>
        <w:t xml:space="preserve">page is displayed.</w:t>
      </w:r>
    </w:p>
    <w:p>
      <w:pPr>
        <w:pStyle w:val="Compact"/>
        <w:numPr>
          <w:ilvl w:val="0"/>
          <w:numId w:val="1002"/>
        </w:numPr>
      </w:pPr>
      <w:r>
        <w:t xml:space="preserve">The page identifies the requested resource and the role required to access it.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t xml:space="preserve">“Back home”</w:t>
      </w:r>
      <w:r>
        <w:t xml:space="preserve"> </w:t>
      </w:r>
      <w:r>
        <w:t xml:space="preserve">link returns the user to their default landing page.</w:t>
      </w:r>
    </w:p>
    <w:p>
      <w:pPr>
        <w:pStyle w:val="FirstParagraph"/>
      </w:pPr>
      <w:r>
        <w:t xml:space="preserve">The user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redirected to the home page (this would obscure the cause).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signed out (their session is still valid for other pages).</w:t>
      </w:r>
    </w:p>
    <w:p>
      <w:pPr>
        <w:pStyle w:val="BodyText"/>
      </w:pPr>
      <w:r>
        <w:t xml:space="preserve">When a user clicks an action button they should not see (only possible if the interface fails to gate correctly — a defect), the API returns a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with a problem-details body explaining the missing permission. This is the security backstop and should not be reached in normal use.</w:t>
      </w:r>
    </w:p>
    <w:p>
      <w:r>
        <w:pict>
          <v:rect style="width:0;height:1.5pt" o:hralign="center" o:hrstd="t" o:hr="t"/>
        </w:pict>
      </w:r>
    </w:p>
    <w:bookmarkEnd w:id="31"/>
    <w:bookmarkStart w:id="32" w:name="g.-tenant-user-experience-interim"/>
    <w:p>
      <w:pPr>
        <w:pStyle w:val="Heading2"/>
      </w:pPr>
      <w:r>
        <w:t xml:space="preserve">G. Tenant user experience (interim)</w:t>
      </w:r>
    </w:p>
    <w:p>
      <w:pPr>
        <w:pStyle w:val="FirstParagraph"/>
      </w:pPr>
      <w:r>
        <w:t xml:space="preserve">Tenant users — external customer accounts hard-bound to a single tenant — currently navigate the same interface as Team users, with the following differences:</w:t>
      </w:r>
    </w:p>
    <w:p>
      <w:pPr>
        <w:pStyle w:val="Compact"/>
        <w:numPr>
          <w:ilvl w:val="0"/>
          <w:numId w:val="1003"/>
        </w:numPr>
      </w:pPr>
      <w:r>
        <w:t xml:space="preserve">They see only their bound tenant in the Tenants list (no other tenants are visible).</w:t>
      </w:r>
    </w:p>
    <w:p>
      <w:pPr>
        <w:pStyle w:val="Compact"/>
        <w:numPr>
          <w:ilvl w:val="0"/>
          <w:numId w:val="1003"/>
        </w:numPr>
      </w:pPr>
      <w:r>
        <w:t xml:space="preserve">All master menus (Tools, Calibrations, Licenses) are hidden.</w:t>
      </w:r>
    </w:p>
    <w:p>
      <w:pPr>
        <w:pStyle w:val="Compact"/>
        <w:numPr>
          <w:ilvl w:val="0"/>
          <w:numId w:val="1003"/>
        </w:numPr>
      </w:pPr>
      <w:r>
        <w:t xml:space="preserve">All tenant-management menus (settings, members, lifecycle) are hidden.</w:t>
      </w:r>
    </w:p>
    <w:p>
      <w:pPr>
        <w:pStyle w:val="Compact"/>
        <w:numPr>
          <w:ilvl w:val="0"/>
          <w:numId w:val="1003"/>
        </w:numPr>
      </w:pPr>
      <w:r>
        <w:t xml:space="preserve">The user-administration area is hidden.</w:t>
      </w:r>
    </w:p>
    <w:p>
      <w:pPr>
        <w:pStyle w:val="Compact"/>
        <w:numPr>
          <w:ilvl w:val="0"/>
          <w:numId w:val="1003"/>
        </w:numPr>
      </w:pPr>
      <w:r>
        <w:t xml:space="preserve">Within their bound tenant, they have</w:t>
      </w:r>
      <w:r>
        <w:t xml:space="preserve"> </w:t>
      </w:r>
      <w:r>
        <w:rPr>
          <w:b/>
          <w:bCs/>
        </w:rPr>
        <w:t xml:space="preserve">read access</w:t>
      </w:r>
      <w:r>
        <w:t xml:space="preserve"> </w:t>
      </w:r>
      <w:r>
        <w:t xml:space="preserve">to all data and</w:t>
      </w:r>
      <w:r>
        <w:t xml:space="preserve"> </w:t>
      </w:r>
      <w:r>
        <w:rPr>
          <w:b/>
          <w:bCs/>
        </w:rPr>
        <w:t xml:space="preserve">write access</w:t>
      </w:r>
      <w:r>
        <w:t xml:space="preserve"> </w:t>
      </w:r>
      <w:r>
        <w:t xml:space="preserve">to Runs, Shots, and bin uploads.</w:t>
      </w:r>
    </w:p>
    <w:p>
      <w:pPr>
        <w:pStyle w:val="Compact"/>
        <w:numPr>
          <w:ilvl w:val="0"/>
          <w:numId w:val="1003"/>
        </w:numPr>
      </w:pPr>
      <w:r>
        <w:t xml:space="preserve">They cannot create or modify Jobs, Wells, or other tenant content.</w:t>
      </w:r>
    </w:p>
    <w:p>
      <w:pPr>
        <w:pStyle w:val="FirstParagraph"/>
      </w:pPr>
      <w:r>
        <w:t xml:space="preserve">A dedicated Tenant portal (separate controllers, separate page surface) is planned for a future release and will replace this interim arrangement.</w:t>
      </w:r>
    </w:p>
    <w:p>
      <w:r>
        <w:pict>
          <v:rect style="width:0;height:1.5pt" o:hralign="center" o:hrstd="t" o:hr="t"/>
        </w:pict>
      </w:r>
    </w:p>
    <w:bookmarkEnd w:id="32"/>
    <w:bookmarkStart w:id="33" w:name="h.-acceptance-criteria"/>
    <w:p>
      <w:pPr>
        <w:pStyle w:val="Heading2"/>
      </w:pPr>
      <w:r>
        <w:t xml:space="preserve">H. Acceptance criteria</w:t>
      </w:r>
    </w:p>
    <w:p>
      <w:pPr>
        <w:pStyle w:val="FirstParagraph"/>
      </w:pPr>
      <w:r>
        <w:t xml:space="preserve">This SOP is approved when:</w:t>
      </w:r>
    </w:p>
    <w:p>
      <w:pPr>
        <w:pStyle w:val="Compact"/>
        <w:numPr>
          <w:ilvl w:val="0"/>
          <w:numId w:val="1004"/>
        </w:numPr>
      </w:pPr>
      <w:r>
        <w:t xml:space="preserve">A representative System Administrator signs in and confirms the admin area renders as documented in section E.2.</w:t>
      </w:r>
    </w:p>
    <w:p>
      <w:pPr>
        <w:pStyle w:val="Compact"/>
        <w:numPr>
          <w:ilvl w:val="0"/>
          <w:numId w:val="1004"/>
        </w:numPr>
      </w:pPr>
      <w:r>
        <w:t xml:space="preserve">A representative Supervisor signs in and confirms tenant lifecycle and license actions are visible and operable.</w:t>
      </w:r>
    </w:p>
    <w:p>
      <w:pPr>
        <w:pStyle w:val="Compact"/>
        <w:numPr>
          <w:ilvl w:val="0"/>
          <w:numId w:val="1004"/>
        </w:numPr>
      </w:pPr>
      <w:r>
        <w:t xml:space="preserve">A representative Office user signs in and confirms:</w:t>
      </w:r>
    </w:p>
    <w:p>
      <w:pPr>
        <w:pStyle w:val="Compact"/>
        <w:numPr>
          <w:ilvl w:val="1"/>
          <w:numId w:val="1005"/>
        </w:numPr>
      </w:pPr>
      <w:r>
        <w:t xml:space="preserve">The</w:t>
      </w:r>
      <w:r>
        <w:t xml:space="preserve"> </w:t>
      </w:r>
      <w:r>
        <w:t xml:space="preserve">“Provision tenant”</w:t>
      </w:r>
      <w:r>
        <w:t xml:space="preserve"> </w:t>
      </w:r>
      <w:r>
        <w:t xml:space="preserve">button is hidden on the Tenants list.</w:t>
      </w:r>
    </w:p>
    <w:p>
      <w:pPr>
        <w:pStyle w:val="Compact"/>
        <w:numPr>
          <w:ilvl w:val="1"/>
          <w:numId w:val="1005"/>
        </w:numPr>
      </w:pPr>
      <w:r>
        <w:t xml:space="preserve">The user-creation page hides the</w:t>
      </w:r>
      <w:r>
        <w:t xml:space="preserve"> </w:t>
      </w:r>
      <w:r>
        <w:t xml:space="preserve">“Team”</w:t>
      </w:r>
      <w:r>
        <w:t xml:space="preserve"> </w:t>
      </w:r>
      <w:r>
        <w:t xml:space="preserve">user-type option.</w:t>
      </w:r>
    </w:p>
    <w:p>
      <w:pPr>
        <w:pStyle w:val="Compact"/>
        <w:numPr>
          <w:ilvl w:val="1"/>
          <w:numId w:val="1005"/>
        </w:numPr>
      </w:pPr>
      <w:r>
        <w:t xml:space="preserve">Master Tools write actions are hidden; master Calibrations write actions are visible.</w:t>
      </w:r>
    </w:p>
    <w:p>
      <w:pPr>
        <w:pStyle w:val="Compact"/>
        <w:numPr>
          <w:ilvl w:val="0"/>
          <w:numId w:val="1004"/>
        </w:numPr>
      </w:pPr>
      <w:r>
        <w:t xml:space="preserve">A representative Field user signs in and confirms only Runs and Shots are writable; all other data is read-only.</w:t>
      </w:r>
    </w:p>
    <w:p>
      <w:pPr>
        <w:pStyle w:val="Compact"/>
        <w:numPr>
          <w:ilvl w:val="0"/>
          <w:numId w:val="1004"/>
        </w:numPr>
      </w:pPr>
      <w:r>
        <w:t xml:space="preserve">A representative Tenant user signs in and confirms the navigation matches section G.</w:t>
      </w:r>
    </w:p>
    <w:p>
      <w:pPr>
        <w:pStyle w:val="Compact"/>
        <w:numPr>
          <w:ilvl w:val="0"/>
          <w:numId w:val="1004"/>
        </w:numPr>
      </w:pPr>
      <w:r>
        <w:t xml:space="preserve">Each persona attempts to navigate directly to a URL outside their permission set and confirms the</w:t>
      </w:r>
      <w:r>
        <w:t xml:space="preserve"> </w:t>
      </w:r>
      <w:r>
        <w:rPr>
          <w:rStyle w:val="VerbatimChar"/>
        </w:rPr>
        <w:t xml:space="preserve">/forbidden</w:t>
      </w:r>
      <w:r>
        <w:t xml:space="preserve"> </w:t>
      </w:r>
      <w:r>
        <w:t xml:space="preserve">page renders correctly.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document-control"/>
    <w:p>
      <w:pPr>
        <w:pStyle w:val="Heading1"/>
      </w:pPr>
      <w:r>
        <w:t xml:space="preserve">Document control</w:t>
      </w:r>
    </w:p>
    <w:bookmarkStart w:id="35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 (draft)</w:t>
            </w:r>
          </w:p>
        </w:tc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t xml:space="preserve">Mike King (KingOfTheGeeks)</w:t>
            </w:r>
          </w:p>
        </w:tc>
        <w:tc>
          <w:tcPr/>
          <w:p>
            <w:pPr>
              <w:pStyle w:val="Compact"/>
            </w:pPr>
            <w:r>
              <w:t xml:space="preserve">Initial draft. Documents the user-interface gating across all pages and personas, including the new</w:t>
            </w:r>
            <w:r>
              <w:t xml:space="preserve"> </w:t>
            </w:r>
            <w:r>
              <w:rPr>
                <w:rStyle w:val="VerbatimChar"/>
              </w:rPr>
              <w:t xml:space="preserve">/forbidden</w:t>
            </w:r>
            <w:r>
              <w:t xml:space="preserve"> </w:t>
            </w:r>
            <w:r>
              <w:t xml:space="preserve">page, Tenant user interim experience, and per-page action visibility. Pairs with SDI-ENG-SOP-002 (Authorization Redesign).</w:t>
            </w:r>
          </w:p>
        </w:tc>
      </w:tr>
    </w:tbl>
    <w:bookmarkEnd w:id="35"/>
    <w:bookmarkStart w:id="36" w:name="change-control-protocol"/>
    <w:p>
      <w:pPr>
        <w:pStyle w:val="Heading2"/>
      </w:pPr>
      <w:r>
        <w:t xml:space="preserve">Change-control protocol</w:t>
      </w:r>
    </w:p>
    <w:p>
      <w:pPr>
        <w:pStyle w:val="FirstParagraph"/>
      </w:pPr>
      <w:r>
        <w:t xml:space="preserve">Updates to this SOP follow the standard procedure-change rules:</w:t>
      </w:r>
    </w:p>
    <w:p>
      <w:pPr>
        <w:pStyle w:val="Compact"/>
        <w:numPr>
          <w:ilvl w:val="0"/>
          <w:numId w:val="1006"/>
        </w:numPr>
      </w:pPr>
      <w:r>
        <w:t xml:space="preserve">Every code change that alters a visible UI element behind a permission gate (a new button, a moved menu, a changed visibility rule)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corresponding update to the matrix in section E in the same pull request.</w:t>
      </w:r>
    </w:p>
    <w:p>
      <w:pPr>
        <w:pStyle w:val="Compact"/>
        <w:numPr>
          <w:ilvl w:val="0"/>
          <w:numId w:val="1006"/>
        </w:numPr>
      </w:pPr>
      <w:r>
        <w:t xml:space="preserve">Adding or removing a page bumps the SOP minor version (1.0 → 1.1). Restructuring section E or adding a new persona bumps the major version (1.x → 2.0).</w:t>
      </w:r>
    </w:p>
    <w:p>
      <w:pPr>
        <w:pStyle w:val="Compact"/>
        <w:numPr>
          <w:ilvl w:val="0"/>
          <w:numId w:val="1006"/>
        </w:numPr>
      </w:pPr>
      <w:r>
        <w:t xml:space="preserve">Every SOP version is tagged in source control alongside the Enki release it covers.</w:t>
      </w:r>
    </w:p>
    <w:p>
      <w:pPr>
        <w:pStyle w:val="FirstParagraph"/>
      </w:pPr>
      <w:r>
        <w:t xml:space="preserve">This SOP must be kept synchronized with SDI-ENG-SOP-002 (Authorization Redesign) — any policy change in the authorization SOP that affects the user interface requires a matching update here.</w:t>
      </w:r>
    </w:p>
    <w:bookmarkEnd w:id="36"/>
    <w:bookmarkStart w:id="37" w:name="storage-and-distribution"/>
    <w:p>
      <w:pPr>
        <w:pStyle w:val="Heading2"/>
      </w:pPr>
      <w:r>
        <w:t xml:space="preserve">Storage and distribution</w:t>
      </w:r>
    </w:p>
    <w:p>
      <w:pPr>
        <w:pStyle w:val="FirstParagraph"/>
      </w:pPr>
      <w:r>
        <w:t xml:space="preserve">The authoritative source of this SOP is the markdown in the Enki repository (</w:t>
      </w:r>
      <w:r>
        <w:rPr>
          <w:rStyle w:val="VerbatimChar"/>
        </w:rPr>
        <w:t xml:space="preserve">docs/sop-gui-gating.md</w:t>
      </w:r>
      <w:r>
        <w:t xml:space="preserve">). The compiled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artifact (</w:t>
      </w:r>
      <w:r>
        <w:rPr>
          <w:rStyle w:val="VerbatimChar"/>
        </w:rPr>
        <w:t xml:space="preserve">docs/sop-gui-gating.docx</w:t>
      </w:r>
      <w:r>
        <w:t xml:space="preserve">) is regenerated from that source at release time and distributed to client end-users, administrators, and onboarding personnel as needed.</w:t>
      </w:r>
    </w:p>
    <w:p>
      <w:pPr>
        <w:pStyle w:val="BodyText"/>
      </w:pPr>
      <w:r>
        <w:t xml:space="preserve">Print copies are uncontrolled. The source-of-truth is the version in the repository tagged for the release under review.</w:t>
      </w:r>
    </w:p>
    <w:bookmarkEnd w:id="37"/>
    <w:bookmarkStart w:id="38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 below, the approver attests that this SOP correctly documents the user interface gating in the corresponding Enki release.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Client sign-off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C0C0C0" w:sz="4" w:val="single"/>
        <w:insideV w:color="C0C0C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tcBorders>
          <w:bottom w:color="808080" w:sz="4" w:val="single"/>
        </w:tcBorders>
        <w:shd w:color="auto" w:fill="2F5496" w:val="clear"/>
        <w:vAlign w:val="center"/>
      </w:tcPr>
    </w:tblStylePr>
    <w:tblStylePr w:type="band1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KingOfTheGeeks/Enk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KingOfTheGeeks/Enk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User Interface Gating</dc:title>
  <dc:creator>SDI · KingOfTheGeeks</dc:creator>
  <cp:keywords/>
  <dcterms:created xsi:type="dcterms:W3CDTF">2026-05-01T15:28:41Z</dcterms:created>
  <dcterms:modified xsi:type="dcterms:W3CDTF">2026-05-01T15:28:41Z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2026-05-01</vt:lpwstr>
  </property>
  <property fmtid="{D5CDD505-2E9C-101B-9397-08002B2CF9AE}" pid="3" name="subtitle">
    <vt:lpwstr>Standard Operating Procedure</vt:lpwstr>
  </property>
</Properties>
</file>