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Access Control Matrix</w:t>
      </w:r>
    </w:p>
    <w:p>
      <w:pPr>
        <w:pStyle w:val="Subtitle"/>
      </w:pPr>
      <w:r>
        <w:t xml:space="preserve">Per-entity CRUD permissions by team role</w:t>
      </w:r>
    </w:p>
    <w:p>
      <w:pPr>
        <w:pStyle w:val="Author"/>
      </w:pPr>
      <w:r>
        <w:t xml:space="preserve">Generated from src/SDI.Enki.Shared/Authorization/EnkiPolicies.cs and the WebApi + Identity controllers</w:t>
      </w:r>
    </w:p>
    <w:p>
      <w:pPr>
        <w:pStyle w:val="Date"/>
      </w:pPr>
      <w:r>
        <w:t xml:space="preserve">2026-05-02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Authorization in Enki runs on two orthogonal axes plus an admin flag and capability claims.</w:t>
      </w:r>
    </w:p>
    <w:p>
      <w:pPr>
        <w:pStyle w:val="BodyText"/>
      </w:pPr>
      <w:r>
        <w:rPr>
          <w:b/>
          <w:bCs/>
        </w:rPr>
        <w:t xml:space="preserve">Axis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UserType</w:t>
      </w:r>
      <w:r>
        <w:rPr>
          <w:b/>
          <w:bCs/>
        </w:rPr>
        <w:t xml:space="preserve"> </w:t>
      </w:r>
      <w:r>
        <w:rPr>
          <w:b/>
          <w:bCs/>
        </w:rPr>
        <w:t xml:space="preserve">(column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ApplicationUser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</w:t>
      </w:r>
      <w:r>
        <w:t xml:space="preserve"> </w:t>
      </w:r>
      <w:r>
        <w:t xml:space="preserve">— SDI staff. Authenticate against the Identity host; reach master + tenant endpoints. Must carry a</w:t>
      </w:r>
      <w:r>
        <w:t xml:space="preserve"> </w:t>
      </w:r>
      <w:r>
        <w:rPr>
          <w:rStyle w:val="VerbatimChar"/>
        </w:rPr>
        <w:t xml:space="preserve">TeamSubtype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</w:t>
      </w:r>
      <w:r>
        <w:t xml:space="preserve"> </w:t>
      </w:r>
      <w:r>
        <w:t xml:space="preserve">— customer-side users. Hard-bound 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tenant via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claim. Locked out of master endpoints; restricted to Field-equivalent operations within their bound tenant.</w:t>
      </w:r>
    </w:p>
    <w:p>
      <w:pPr>
        <w:pStyle w:val="FirstParagraph"/>
      </w:pPr>
      <w:r>
        <w:rPr>
          <w:b/>
          <w:bCs/>
        </w:rPr>
        <w:t xml:space="preserve">Axis 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TeamSubtype</w:t>
      </w:r>
      <w:r>
        <w:rPr>
          <w:b/>
          <w:bCs/>
        </w:rPr>
        <w:t xml:space="preserve"> </w:t>
      </w:r>
      <w:r>
        <w:rPr>
          <w:b/>
          <w:bCs/>
        </w:rPr>
        <w:t xml:space="preserve">(Team users only, SmartEnum):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</w:t>
      </w:r>
      <w:r>
        <w:t xml:space="preserve"> </w:t>
      </w:r>
      <w:r>
        <w:t xml:space="preserve">(1) — downhole operators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Office</w:t>
      </w:r>
      <w:r>
        <w:t xml:space="preserve"> </w:t>
      </w:r>
      <w:r>
        <w:t xml:space="preserve">(2) — analysts / coordinators /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Supervisor</w:t>
      </w:r>
      <w:r>
        <w:t xml:space="preserve"> </w:t>
      </w:r>
      <w:r>
        <w:t xml:space="preserve">(3) — field supervisors</w:t>
      </w:r>
    </w:p>
    <w:p>
      <w:pPr>
        <w:pStyle w:val="FirstParagraph"/>
      </w:pPr>
      <w:r>
        <w:t xml:space="preserve">The hierarchy is numeric — a check for</w:t>
      </w:r>
      <w:r>
        <w:t xml:space="preserve"> </w:t>
      </w:r>
      <w:r>
        <w:t xml:space="preserve">“Office or above”</w:t>
      </w:r>
      <w:r>
        <w:t xml:space="preserve"> </w:t>
      </w:r>
      <w:r>
        <w:t xml:space="preserve">passes for both Office and Supervisor.</w:t>
      </w:r>
    </w:p>
    <w:p>
      <w:pPr>
        <w:pStyle w:val="BodyText"/>
      </w:pPr>
      <w:r>
        <w:rPr>
          <w:b/>
          <w:bCs/>
        </w:rPr>
        <w:t xml:space="preserve">Flag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IsEnkiAdmin</w:t>
      </w:r>
      <w:r>
        <w:rPr>
          <w:b/>
          <w:bCs/>
        </w:rPr>
        <w:t xml:space="preserve">: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ApplicationUser</w:t>
      </w:r>
      <w:r>
        <w:t xml:space="preserve">, materialised at sign-in by</w:t>
      </w:r>
      <w:r>
        <w:t xml:space="preserve"> </w:t>
      </w:r>
      <w:r>
        <w:rPr>
          <w:rStyle w:val="VerbatimChar"/>
        </w:rPr>
        <w:t xml:space="preserve">EnkiUserClaimsPrincipalFactory</w:t>
      </w:r>
      <w:r>
        <w:t xml:space="preserve"> </w:t>
      </w:r>
      <w:r>
        <w:t xml:space="preserve">into the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 </w:t>
      </w:r>
      <w:r>
        <w:t xml:space="preserve">role claim. Acts as a</w:t>
      </w:r>
      <w:r>
        <w:t xml:space="preserve"> </w:t>
      </w:r>
      <w:r>
        <w:rPr>
          <w:b/>
          <w:bCs/>
        </w:rPr>
        <w:t xml:space="preserve">root bypass</w:t>
      </w:r>
      <w:r>
        <w:t xml:space="preserve"> </w:t>
      </w:r>
      <w:r>
        <w:t xml:space="preserve">for every policy except</w:t>
      </w:r>
      <w:r>
        <w:t xml:space="preserve"> </w:t>
      </w:r>
      <w:r>
        <w:rPr>
          <w:rStyle w:val="VerbatimChar"/>
        </w:rPr>
        <w:t xml:space="preserve">EnkiAdminOnly</w:t>
      </w:r>
      <w:r>
        <w:t xml:space="preserve"> </w:t>
      </w:r>
      <w:r>
        <w:t xml:space="preserve">(which requires it explicitly) and the tenant-deactivation 404 (which is enforced at routing time).</w:t>
      </w:r>
    </w:p>
    <w:p>
      <w:pPr>
        <w:pStyle w:val="BodyText"/>
      </w:pPr>
      <w:r>
        <w:rPr>
          <w:b/>
          <w:bCs/>
        </w:rPr>
        <w:t xml:space="preserve">Capability claims</w:t>
      </w:r>
      <w:r>
        <w:t xml:space="preserve"> </w:t>
      </w:r>
      <w:r>
        <w:t xml:space="preserve">(</w:t>
      </w:r>
      <w:r>
        <w:rPr>
          <w:rStyle w:val="VerbatimChar"/>
        </w:rPr>
        <w:t xml:space="preserve">enki:capability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AspNetUserClaim</w:t>
      </w:r>
      <w:r>
        <w:t xml:space="preserve">): orthogonal grants stored as user claims. Currently only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is in use — it lets a non-Supervisor user issue/revoke licenses.</w:t>
      </w:r>
    </w:p>
    <w:bookmarkEnd w:id="9"/>
    <w:bookmarkStart w:id="10" w:name="roles"/>
    <w:p>
      <w:pPr>
        <w:pStyle w:val="Heading1"/>
      </w:pPr>
      <w:r>
        <w:t xml:space="preserve">2.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it grants on top of</w:t>
            </w:r>
            <w:r>
              <w:t xml:space="preserve"> </w:t>
            </w:r>
            <w:r>
              <w:t xml:space="preserve">“any signed-in user”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Tenant-scoped reads + Runs/Shots writes (when a member of the tenant in URL scope).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Field + tenant-content writes (Jobs/Wells/Surveys/etc.) + master content writes (Calibrations, Tenant settings).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Office + tenant-member management + master Tools CRUD + tenant provisioning + tenant lifecycle + license issue/revoke + master roster reads.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Bypasses every policy except the tenant-deactivation 404 and the explicit</w:t>
            </w:r>
            <w:r>
              <w:t xml:space="preserve"> </w:t>
            </w:r>
            <w:r>
              <w:rPr>
                <w:rStyle w:val="VerbatimChar"/>
              </w:rPr>
              <w:t xml:space="preserve">EnkiAdminOnly</w:t>
            </w:r>
            <w:r>
              <w:t xml:space="preserve"> </w:t>
            </w:r>
            <w:r>
              <w:t xml:space="preserve">gate. Can manage any user, flip admin role, grant/revoke capabilities, read identity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Tenant-bound user</w:t>
            </w:r>
          </w:p>
        </w:tc>
        <w:tc>
          <w:tcPr/>
          <w:p>
            <w:pPr>
              <w:pStyle w:val="Compact"/>
            </w:pPr>
            <w:r>
              <w:t xml:space="preserve">Field-equivalent operations within their bound tenant only. Denied master endpoints. Denied any policy with a</w:t>
            </w:r>
            <w:r>
              <w:t xml:space="preserve"> </w:t>
            </w:r>
            <w:r>
              <w:rPr>
                <w:rStyle w:val="VerbatimChar"/>
              </w:rPr>
              <w:t xml:space="preserve">MinimumSubtype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licensing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Equivalent to Supervisor for</w:t>
            </w:r>
            <w:r>
              <w:t xml:space="preserve"> </w:t>
            </w:r>
            <w:r>
              <w:rPr>
                <w:rStyle w:val="VerbatimChar"/>
              </w:rPr>
              <w:t xml:space="preserve">CanManageLicensing</w:t>
            </w:r>
            <w:r>
              <w:t xml:space="preserve"> </w:t>
            </w:r>
            <w:r>
              <w:t xml:space="preserve">only. Does NOT grant any other Supervisor-tier action.</w:t>
            </w:r>
          </w:p>
        </w:tc>
      </w:tr>
    </w:tbl>
    <w:bookmarkEnd w:id="10"/>
    <w:bookmarkStart w:id="11" w:name="policy-decision-tree"/>
    <w:p>
      <w:pPr>
        <w:pStyle w:val="Heading1"/>
      </w:pPr>
      <w:r>
        <w:t xml:space="preserve">3. Policy decision tree</w:t>
      </w:r>
    </w:p>
    <w:p>
      <w:pPr>
        <w:pStyle w:val="FirstParagraph"/>
      </w:pPr>
      <w:r>
        <w:t xml:space="preserve">The single</w:t>
      </w:r>
      <w:r>
        <w:t xml:space="preserve"> </w:t>
      </w:r>
      <w:r>
        <w:rPr>
          <w:rStyle w:val="VerbatimChar"/>
        </w:rPr>
        <w:t xml:space="preserve">TeamAuthHandler</w:t>
      </w:r>
      <w:r>
        <w:t xml:space="preserve"> </w:t>
      </w:r>
      <w:r>
        <w:t xml:space="preserve">evaluates every policy through this short-circuit tree (first matching rule wins):</w:t>
      </w:r>
    </w:p>
    <w:p>
      <w:pPr>
        <w:pStyle w:val="Compact"/>
        <w:numPr>
          <w:ilvl w:val="0"/>
          <w:numId w:val="1003"/>
        </w:numPr>
      </w:pPr>
      <w:r>
        <w:t xml:space="preserve">If the policy declares</w:t>
      </w:r>
      <w:r>
        <w:t xml:space="preserve"> </w:t>
      </w:r>
      <w:r>
        <w:rPr>
          <w:rStyle w:val="VerbatimChar"/>
        </w:rPr>
        <w:t xml:space="preserve">RequireAdmin = true</w:t>
      </w:r>
      <w:r>
        <w:t xml:space="preserve"> </w:t>
      </w:r>
      <w:r>
        <w:t xml:space="preserve">→ succeed iff</w:t>
      </w:r>
      <w:r>
        <w:t xml:space="preserve"> </w:t>
      </w:r>
      <w:r>
        <w:rPr>
          <w:rStyle w:val="VerbatimChar"/>
        </w:rPr>
        <w:t xml:space="preserve">IsEnkiAdmin</w:t>
      </w:r>
      <w:r>
        <w:t xml:space="preserve">. Else deny.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IsEnkiAdmin</w:t>
      </w:r>
      <w:r>
        <w:t xml:space="preserve"> </w:t>
      </w:r>
      <w:r>
        <w:t xml:space="preserve">→ succeed (root bypass).</w:t>
      </w:r>
    </w:p>
    <w:p>
      <w:pPr>
        <w:pStyle w:val="Compact"/>
        <w:numPr>
          <w:ilvl w:val="0"/>
          <w:numId w:val="1003"/>
        </w:numPr>
      </w:pPr>
      <w:r>
        <w:t xml:space="preserve">If the principal’s</w:t>
      </w:r>
      <w:r>
        <w:t xml:space="preserve"> </w:t>
      </w:r>
      <w:r>
        <w:rPr>
          <w:rStyle w:val="VerbatimChar"/>
        </w:rPr>
        <w:t xml:space="preserve">user_type = Tenant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Deny if the policy is master-scoped.</w:t>
      </w:r>
    </w:p>
    <w:p>
      <w:pPr>
        <w:pStyle w:val="Compact"/>
        <w:numPr>
          <w:ilvl w:val="1"/>
          <w:numId w:val="1004"/>
        </w:numPr>
      </w:pPr>
      <w:r>
        <w:t xml:space="preserve">Bind-check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against the route’s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Deny if the policy declares any</w:t>
      </w:r>
      <w:r>
        <w:t xml:space="preserve"> </w:t>
      </w:r>
      <w:r>
        <w:rPr>
          <w:rStyle w:val="VerbatimChar"/>
        </w:rPr>
        <w:t xml:space="preserve">MinimumSubtype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Else succeed.</w:t>
      </w:r>
    </w:p>
    <w:p>
      <w:pPr>
        <w:pStyle w:val="Compact"/>
        <w:numPr>
          <w:ilvl w:val="0"/>
          <w:numId w:val="1003"/>
        </w:numPr>
      </w:pPr>
      <w:r>
        <w:t xml:space="preserve">If the policy is tenant-scoped, require a</w:t>
      </w:r>
      <w:r>
        <w:t xml:space="preserve"> </w:t>
      </w:r>
      <w:r>
        <w:rPr>
          <w:rStyle w:val="VerbatimChar"/>
        </w:rPr>
        <w:t xml:space="preserve">TenantUser</w:t>
      </w:r>
      <w:r>
        <w:t xml:space="preserve"> </w:t>
      </w:r>
      <w:r>
        <w:t xml:space="preserve">row for the (caller, tenant) pair. Deny on miss.</w:t>
      </w:r>
    </w:p>
    <w:p>
      <w:pPr>
        <w:pStyle w:val="Compact"/>
        <w:numPr>
          <w:ilvl w:val="0"/>
          <w:numId w:val="1003"/>
        </w:numPr>
      </w:pPr>
      <w:r>
        <w:t xml:space="preserve">If no</w:t>
      </w:r>
      <w:r>
        <w:t xml:space="preserve"> </w:t>
      </w:r>
      <w:r>
        <w:rPr>
          <w:rStyle w:val="VerbatimChar"/>
        </w:rPr>
        <w:t xml:space="preserve">MinimumSubtype</w:t>
      </w:r>
      <w:r>
        <w:t xml:space="preserve"> </w:t>
      </w:r>
      <w:r>
        <w:t xml:space="preserve">is set → succeed.</w:t>
      </w:r>
    </w:p>
    <w:p>
      <w:pPr>
        <w:pStyle w:val="Compact"/>
        <w:numPr>
          <w:ilvl w:val="0"/>
          <w:numId w:val="1003"/>
        </w:numPr>
      </w:pPr>
      <w:r>
        <w:t xml:space="preserve">If the caller’s</w:t>
      </w:r>
      <w:r>
        <w:t xml:space="preserve"> </w:t>
      </w:r>
      <w:r>
        <w:rPr>
          <w:rStyle w:val="VerbatimChar"/>
        </w:rPr>
        <w:t xml:space="preserve">team_subtype</w:t>
      </w:r>
      <w:r>
        <w:t xml:space="preserve"> </w:t>
      </w:r>
      <w:r>
        <w:t xml:space="preserve">satisfies the floor → succeed.</w:t>
      </w:r>
    </w:p>
    <w:p>
      <w:pPr>
        <w:pStyle w:val="Compact"/>
        <w:numPr>
          <w:ilvl w:val="0"/>
          <w:numId w:val="1003"/>
        </w:numPr>
      </w:pPr>
      <w:r>
        <w:t xml:space="preserve">If the caller carries the policy’s</w:t>
      </w:r>
      <w:r>
        <w:t xml:space="preserve"> </w:t>
      </w:r>
      <w:r>
        <w:rPr>
          <w:rStyle w:val="VerbatimChar"/>
        </w:rPr>
        <w:t xml:space="preserve">GrantingCapability</w:t>
      </w:r>
      <w:r>
        <w:t xml:space="preserve"> </w:t>
      </w:r>
      <w:r>
        <w:t xml:space="preserve">claim → succeed.</w:t>
      </w:r>
    </w:p>
    <w:p>
      <w:pPr>
        <w:pStyle w:val="Compact"/>
        <w:numPr>
          <w:ilvl w:val="0"/>
          <w:numId w:val="1003"/>
        </w:numPr>
      </w:pPr>
      <w:r>
        <w:t xml:space="preserve">Else deny.</w:t>
      </w:r>
    </w:p>
    <w:bookmarkEnd w:id="11"/>
    <w:bookmarkStart w:id="14" w:name="policy-summary"/>
    <w:p>
      <w:pPr>
        <w:pStyle w:val="Heading1"/>
      </w:pPr>
      <w:r>
        <w:t xml:space="preserve">4. Policy summary</w:t>
      </w:r>
    </w:p>
    <w:p>
      <w:pPr>
        <w:pStyle w:val="FirstParagraph"/>
      </w:pPr>
      <w:r>
        <w:t xml:space="preserve">The 12 WebApi policies live in</w:t>
      </w:r>
      <w:r>
        <w:t xml:space="preserve"> </w:t>
      </w:r>
      <w:hyperlink r:id="rId12">
        <w:r>
          <w:rPr>
            <w:rStyle w:val="VerbatimChar"/>
          </w:rPr>
          <w:t xml:space="preserve">EnkiPolicies.cs</w:t>
        </w:r>
      </w:hyperlink>
      <w:r>
        <w:t xml:space="preserve">; the 2 Identity-host policies live in</w:t>
      </w:r>
      <w:r>
        <w:t xml:space="preserve"> </w:t>
      </w:r>
      <w:hyperlink r:id="rId13">
        <w:r>
          <w:rPr>
            <w:rStyle w:val="VerbatimChar"/>
          </w:rPr>
          <w:t xml:space="preserve">Identity Program.cs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277"/>
        <w:gridCol w:w="1277"/>
        <w:gridCol w:w="1277"/>
        <w:gridCol w:w="1277"/>
        <w:gridCol w:w="1277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EnkiApiScope (any signed-in)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CanManageTenantMembers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CanDeleteMasterContent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CanProvisionTenants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CanManageTenantLifecycle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CanReadMasterRoster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(Identity) 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(Identity) 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¹ Only when the caller is a</w:t>
      </w:r>
      <w:r>
        <w:t xml:space="preserve"> </w:t>
      </w:r>
      <w:r>
        <w:rPr>
          <w:rStyle w:val="VerbatimChar"/>
        </w:rPr>
        <w:t xml:space="preserve">TenantUser</w:t>
      </w:r>
      <w:r>
        <w:t xml:space="preserve"> </w:t>
      </w:r>
      <w:r>
        <w:t xml:space="preserve">member of the tenant in URL scope.</w:t>
      </w:r>
      <w:r>
        <w:t xml:space="preserve"> </w:t>
      </w:r>
      <w:r>
        <w:t xml:space="preserve">² Only when the route’s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resolves to the user’s bound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  <w:r>
        <w:t xml:space="preserve"> </w:t>
      </w:r>
      <w:r>
        <w:t xml:space="preserve">³ Only when the user holds the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 claim.</w:t>
      </w:r>
      <w:r>
        <w:t xml:space="preserve"> </w:t>
      </w:r>
      <w:r>
        <w:t xml:space="preserve">⁴ Office can only act on Tenant-type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users; per-action body check (</w:t>
      </w:r>
      <w:r>
        <w:rPr>
          <w:rStyle w:val="VerbatimChar"/>
        </w:rPr>
        <w:t xml:space="preserve">RequireSufficientAuthorityFor</w:t>
      </w:r>
      <w:r>
        <w:t xml:space="preserve">) blocks Office from mutating Team-type targets.</w:t>
      </w:r>
    </w:p>
    <w:p>
      <w:pPr>
        <w:pStyle w:val="BodyText"/>
      </w:pPr>
      <w:r>
        <w:t xml:space="preserve">The cells in the per-entity tables below use the same shorthand (Y / — / Y¹ etc.).</w:t>
      </w:r>
    </w:p>
    <w:bookmarkEnd w:id="14"/>
    <w:bookmarkStart w:id="23" w:name="master-level-entities"/>
    <w:p>
      <w:pPr>
        <w:pStyle w:val="Heading1"/>
      </w:pPr>
      <w:r>
        <w:t xml:space="preserve">5. Master-level entities</w:t>
      </w:r>
    </w:p>
    <w:p>
      <w:pPr>
        <w:pStyle w:val="FirstParagraph"/>
      </w:pPr>
      <w:r>
        <w:t xml:space="preserve">These endpoints don’t carry a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route parameter. Most require Office+ or Supervisor+; Tenant-type users are denied every master endpoint.</w:t>
      </w:r>
    </w:p>
    <w:bookmarkStart w:id="15" w:name="tenant"/>
    <w:p>
      <w:pPr>
        <w:pStyle w:val="Heading2"/>
      </w:pPr>
      <w:r>
        <w:t xml:space="preserve">5.1 Tenant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tenants (filtered to membership)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tenant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/tenants/{code}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 (create) tenant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</w:t>
            </w:r>
          </w:p>
        </w:tc>
        <w:tc>
          <w:tcPr/>
          <w:p>
            <w:pPr>
              <w:pStyle w:val="Compact"/>
            </w:pPr>
            <w:r>
              <w:t xml:space="preserve">CanProvisionTenants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tenant metadata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/tenants/{code}</w:t>
            </w:r>
          </w:p>
        </w:tc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Deactivate tenant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/tenants/{code}/deactivate</w:t>
            </w:r>
          </w:p>
        </w:tc>
        <w:tc>
          <w:tcPr/>
          <w:p>
            <w:pPr>
              <w:pStyle w:val="Compact"/>
            </w:pPr>
            <w:r>
              <w:t xml:space="preserve">CanManageTenantLifecycle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Reactivate tenant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/tenants/{code}/reactivate</w:t>
            </w:r>
          </w:p>
        </w:tc>
        <w:tc>
          <w:tcPr/>
          <w:p>
            <w:pPr>
              <w:pStyle w:val="Compact"/>
            </w:pPr>
            <w:r>
              <w:t xml:space="preserve">CanManageTenantLifecycle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¹ List filters to TenantUser memberships; detail requires CanAccessTenant.</w:t>
      </w:r>
      <w:r>
        <w:t xml:space="preserve"> </w:t>
      </w:r>
      <w:r>
        <w:t xml:space="preserve">² Tenant-bound users see only their bound tenant.</w:t>
      </w:r>
    </w:p>
    <w:bookmarkEnd w:id="15"/>
    <w:bookmarkStart w:id="16" w:name="tenantmember"/>
    <w:p>
      <w:pPr>
        <w:pStyle w:val="Heading2"/>
      </w:pPr>
      <w:r>
        <w:t xml:space="preserve">5.2 TenantMember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tenant members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/tenants/{code}/members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member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/tenants/{code}/members</w:t>
            </w:r>
          </w:p>
        </w:tc>
        <w:tc>
          <w:tcPr/>
          <w:p>
            <w:pPr>
              <w:pStyle w:val="Compact"/>
            </w:pPr>
            <w:r>
              <w:t xml:space="preserve">CanManageTenantMembers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member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/tenants/{code}/members/{userId}</w:t>
            </w:r>
          </w:p>
        </w:tc>
        <w:tc>
          <w:tcPr/>
          <w:p>
            <w:pPr>
              <w:pStyle w:val="Compact"/>
            </w:pPr>
            <w:r>
              <w:t xml:space="preserve">CanManageTenantMembers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16"/>
    <w:bookmarkStart w:id="17" w:name="tool-master-fleet"/>
    <w:p>
      <w:pPr>
        <w:pStyle w:val="Heading2"/>
      </w:pPr>
      <w:r>
        <w:t xml:space="preserve">5.3 Tool (master fleet)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tools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/tools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tool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/tools/{serial}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calibrations for tool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/tools/{serial}/calibrations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tool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/tools</w:t>
            </w:r>
          </w:p>
        </w:tc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tool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/tools/{serial}</w:t>
            </w:r>
          </w:p>
        </w:tc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 / unretire tool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/tools/{serial}/retire</w:t>
            </w:r>
          </w:p>
        </w:tc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tool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/tools/{serial}</w:t>
            </w:r>
          </w:p>
        </w:tc>
        <w:tc>
          <w:tcPr/>
          <w:p>
            <w:pPr>
              <w:pStyle w:val="Compact"/>
            </w:pPr>
            <w:r>
              <w:t xml:space="preserve">CanManageMasterTools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17"/>
    <w:bookmarkStart w:id="18" w:name="calibration-master"/>
    <w:p>
      <w:pPr>
        <w:pStyle w:val="Heading2"/>
      </w:pPr>
      <w:r>
        <w:t xml:space="preserve">5.4 Calibration (master)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calibration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/calibrations/{id}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processing defaults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/calibrations/processing-defaults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calibration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/calibrations</w:t>
            </w:r>
          </w:p>
        </w:tc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calibration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/calibrations/{id}</w:t>
            </w:r>
          </w:p>
        </w:tc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calibration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/calibrations/{id}</w:t>
            </w:r>
          </w:p>
        </w:tc>
        <w:tc>
          <w:tcPr/>
          <w:p>
            <w:pPr>
              <w:pStyle w:val="Compact"/>
            </w:pPr>
            <w:r>
              <w:t xml:space="preserve">CanDeleteMasterContent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18"/>
    <w:bookmarkStart w:id="19" w:name="license"/>
    <w:p>
      <w:pPr>
        <w:pStyle w:val="Heading2"/>
      </w:pPr>
      <w:r>
        <w:t xml:space="preserve">5.5 License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licenses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license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/licenses/{id}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license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license file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/licenses/{id}/file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license key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/licenses/{id}/key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license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/licenses/{id}/revoke</w:t>
            </w:r>
          </w:p>
        </w:tc>
        <w:tc>
          <w:tcPr/>
          <w:p>
            <w:pPr>
              <w:pStyle w:val="Compact"/>
            </w:pPr>
            <w:r>
              <w:t xml:space="preserve">CanManageLicensing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³ Office cell is Y only when the user holds the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 claim.</w:t>
      </w:r>
    </w:p>
    <w:bookmarkEnd w:id="19"/>
    <w:bookmarkStart w:id="20" w:name="master-users-roster"/>
    <w:p>
      <w:pPr>
        <w:pStyle w:val="Heading2"/>
      </w:pPr>
      <w:r>
        <w:t xml:space="preserve">5.6 Master users roster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master users (picker)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/admin/master-users</w:t>
            </w:r>
          </w:p>
        </w:tc>
        <w:tc>
          <w:tcPr/>
          <w:p>
            <w:pPr>
              <w:pStyle w:val="Compact"/>
            </w:pPr>
            <w:r>
              <w:t xml:space="preserve">CanReadMasterRoster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master user from Identity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/admin/master-users/sync</w:t>
            </w:r>
          </w:p>
        </w:tc>
        <w:tc>
          <w:tcPr/>
          <w:p>
            <w:pPr>
              <w:pStyle w:val="Compact"/>
            </w:pPr>
            <w:r>
              <w:t xml:space="preserve">CanWriteMasterContent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0"/>
    <w:bookmarkStart w:id="21" w:name="system-settings"/>
    <w:p>
      <w:pPr>
        <w:pStyle w:val="Heading2"/>
      </w:pPr>
      <w:r>
        <w:t xml:space="preserve">5.7 System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all settings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setting by key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/admin/settings/{key}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Job region suggestions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/jobs/region-suggestions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1"/>
    <w:bookmarkStart w:id="22" w:name="master-audit-feed"/>
    <w:p>
      <w:pPr>
        <w:pStyle w:val="Heading2"/>
      </w:pPr>
      <w:r>
        <w:t xml:space="preserve">5.8 Master audit feed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master audit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/admin/audit/master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audit 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/admin/audit/master/csv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entity 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/admin/audit/master/{entityType}/{entityId}</w:t>
            </w:r>
          </w:p>
        </w:tc>
        <w:tc>
          <w:tcPr/>
          <w:p>
            <w:pPr>
              <w:pStyle w:val="Compact"/>
            </w:pPr>
            <w:r>
              <w:t xml:space="preserve">EnkiAdminOnly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2"/>
    <w:bookmarkEnd w:id="23"/>
    <w:bookmarkStart w:id="37" w:name="tenant-scoped-entities"/>
    <w:p>
      <w:pPr>
        <w:pStyle w:val="Heading1"/>
      </w:pPr>
      <w:r>
        <w:t xml:space="preserve">6. Tenant-scoped entities</w:t>
      </w:r>
    </w:p>
    <w:p>
      <w:pPr>
        <w:pStyle w:val="FirstParagraph"/>
      </w:pPr>
      <w:r>
        <w:t xml:space="preserve">All endpoints below carry a</w:t>
      </w:r>
      <w:r>
        <w:t xml:space="preserve"> </w:t>
      </w:r>
      <w:r>
        <w:rPr>
          <w:rStyle w:val="VerbatimChar"/>
        </w:rPr>
        <w:t xml:space="preserve">/{tenantCode}</w:t>
      </w:r>
      <w:r>
        <w:t xml:space="preserve"> </w:t>
      </w:r>
      <w:r>
        <w:t xml:space="preserve">route segment. For Team users, every cell marked Y also requires being a</w:t>
      </w:r>
      <w:r>
        <w:t xml:space="preserve"> </w:t>
      </w:r>
      <w:r>
        <w:rPr>
          <w:rStyle w:val="VerbatimChar"/>
        </w:rPr>
        <w:t xml:space="preserve">TenantUser</w:t>
      </w:r>
      <w:r>
        <w:t xml:space="preserve"> </w:t>
      </w:r>
      <w:r>
        <w:t xml:space="preserve">member of the tenant in URL scope. For Tenant-bound users, every cell marked Y also requires the route’s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to resolve to their bound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bookmarkStart w:id="24" w:name="job"/>
    <w:p>
      <w:pPr>
        <w:pStyle w:val="Heading2"/>
      </w:pPr>
      <w:r>
        <w:t xml:space="preserve">6.1 Job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jobs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/tenants/{c}/jobs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job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/tenants/{c}/jobs/{jobId}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job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/tenants/{c}/jobs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job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/tenants/{c}/jobs/{jobId}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 job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/tenants/{c}/jobs/{jobId}/activate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job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/tenants/{c}/jobs/{jobId}/archive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job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/tenants/{c}/jobs/{jobId}/restore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4"/>
    <w:bookmarkStart w:id="25" w:name="well"/>
    <w:p>
      <w:pPr>
        <w:pStyle w:val="Heading2"/>
      </w:pPr>
      <w:r>
        <w:t xml:space="preserve">6.2 Well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wells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…/jobs/{j}/wells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well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…/wells/{wellId}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trajectories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…/wells/trajectories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Anti-collision scan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…/wells/{wellId}/anti-collision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archived wells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…/wells/archived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well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…/wells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well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…/wells/{wellId}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well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…/wells/{wellId}/restore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(soft-archive) well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…/wells/{wellId}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5"/>
    <w:bookmarkStart w:id="26" w:name="tie-on"/>
    <w:p>
      <w:pPr>
        <w:pStyle w:val="Heading2"/>
      </w:pPr>
      <w:r>
        <w:t xml:space="preserve">6.3 Tie-on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tie-ons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…/wells/{w}/tieons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tie-on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…/tieons/{tieOnId}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tie-on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…/tieons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tie-on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…/tieons/{tieOnId}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tie-on (soft delete)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…/tieons/{tieOnId}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6"/>
    <w:bookmarkStart w:id="27" w:name="survey"/>
    <w:p>
      <w:pPr>
        <w:pStyle w:val="Heading2"/>
      </w:pPr>
      <w:r>
        <w:t xml:space="preserve">6.4 Survey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surveys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…/wells/{w}/surveys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survey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…/surveys/{surveyId}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survey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…/surveys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create surveys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…/surveys/bulk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survey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…/surveys/{surveyId}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Recalculate trajectory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…/surveys/calculate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surveys (CSV/LAS)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…/surveys/import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survey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…/surveys/{surveyId}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7"/>
    <w:bookmarkStart w:id="28" w:name="tubular"/>
    <w:p>
      <w:pPr>
        <w:pStyle w:val="Heading2"/>
      </w:pPr>
      <w:r>
        <w:t xml:space="preserve">6.5 Tubular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tubulars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…/wells/{w}/tubulars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tubular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…/tubulars/{tubularId}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tubular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…/tubulars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tubular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…/tubulars/{tubularId}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tubular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…/tubulars/{tubularId}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8"/>
    <w:bookmarkStart w:id="29" w:name="formation"/>
    <w:p>
      <w:pPr>
        <w:pStyle w:val="Heading2"/>
      </w:pPr>
      <w:r>
        <w:t xml:space="preserve">6.6 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formations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…/wells/{w}/formations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formation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…/formations/{formationId}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formation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…/formations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formation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…/formations/{formationId}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formation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…/formations/{formationId}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29"/>
    <w:bookmarkStart w:id="30" w:name="common-measure"/>
    <w:p>
      <w:pPr>
        <w:pStyle w:val="Heading2"/>
      </w:pPr>
      <w:r>
        <w:t xml:space="preserve">6.7 Common measure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common measures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…/wells/{w}/common-measures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common measure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…/common-measures/{measureId}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common measure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…/common-measures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common measure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…/common-measures/{measureId}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common measure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…/common-measures/{measureId}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0"/>
    <w:bookmarkStart w:id="31" w:name="magnetics-per-well-reference"/>
    <w:p>
      <w:pPr>
        <w:pStyle w:val="Heading2"/>
      </w:pPr>
      <w:r>
        <w:t xml:space="preserve">6.8 Magnetics (per-well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well’s magnetic reference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…/wells/{w}/magnetics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/ upsert reference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…/wells/{w}/magnetics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reference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…/wells/{w}/magnetics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1"/>
    <w:bookmarkStart w:id="32" w:name="run"/>
    <w:p>
      <w:pPr>
        <w:pStyle w:val="Heading2"/>
      </w:pPr>
      <w:r>
        <w:t xml:space="preserve">6.9 Run</w:t>
      </w:r>
    </w:p>
    <w:p>
      <w:pPr>
        <w:pStyle w:val="FirstParagraph"/>
      </w:pPr>
      <w:r>
        <w:rPr>
          <w:rStyle w:val="VerbatimChar"/>
        </w:rPr>
        <w:t xml:space="preserve">RunsController</w:t>
      </w:r>
      <w:r>
        <w:t xml:space="preserve"> </w:t>
      </w:r>
      <w:r>
        <w:t xml:space="preserve">uses class-level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only — every action inherits it, including writes. This is deliberate: Runs are the rig-side rotational write surface for Field operators and Tenant-bound users.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runs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…/jobs/{j}/runs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run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…/runs/{runId}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archived runs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…/runs/archived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run calibrations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…/runs/{runId}/calibrations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run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…/runs/{runId}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…/runs/{runId}/start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Suspend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…/runs/{runId}/suspend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…/runs/{runId}/complete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…/runs/{runId}/cancel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archived 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…/runs/{runId}/restore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(soft-archive) run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…/runs/{runId}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passive 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…/runs/{runId}/passive/binary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passive binary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…/runs/{runId}/passive/binary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passive binary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…/runs/{runId}/passive/binary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passive 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…/runs/{runId}/passive/config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2"/>
    <w:bookmarkStart w:id="33" w:name="log"/>
    <w:p>
      <w:pPr>
        <w:pStyle w:val="Heading2"/>
      </w:pPr>
      <w:r>
        <w:t xml:space="preserve">6.10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logs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…/runs/{r}/logs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log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…/logs/{logId}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log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…/runs/{r}/logs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log 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…/logs/{logId}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log 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…/logs/{logId}/binary</w:t>
            </w:r>
          </w:p>
        </w:tc>
        <w:tc>
          <w:tcPr/>
          <w:p>
            <w:pPr>
              <w:pStyle w:val="Compact"/>
            </w:pPr>
            <w:r>
              <w:t xml:space="preserve">CanWriteTenantContent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log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…/logs/{logId}</w:t>
            </w:r>
          </w:p>
        </w:tc>
        <w:tc>
          <w:tcPr/>
          <w:p>
            <w:pPr>
              <w:pStyle w:val="Compact"/>
            </w:pPr>
            <w:r>
              <w:t xml:space="preserve">CanDeleteTenantContent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3"/>
    <w:bookmarkStart w:id="34" w:name="shot"/>
    <w:p>
      <w:pPr>
        <w:pStyle w:val="Heading2"/>
      </w:pPr>
      <w:r>
        <w:t xml:space="preserve">6.11 Shot</w:t>
      </w:r>
    </w:p>
    <w:p>
      <w:pPr>
        <w:pStyle w:val="FirstParagraph"/>
      </w:pPr>
      <w:r>
        <w:rPr>
          <w:rStyle w:val="VerbatimChar"/>
        </w:rPr>
        <w:t xml:space="preserve">ShotsController</w:t>
      </w:r>
      <w:r>
        <w:t xml:space="preserve"> </w:t>
      </w:r>
      <w:r>
        <w:t xml:space="preserve">uses class-level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only — every action inherits it. Shots are the rig-side measurement write path for Field operators and Tenant-bound users. Binary uploads (primary tool, gyro tool) are the operational hot path on every survey station.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shots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…/runs/{r}/shots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shot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…/shots/{shotId}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shot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…/runs/{r}/shots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shot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…/shots/{shotId}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shot 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…/shots/{shotId}/config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shot result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…/shots/{shotId}/result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gyro config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…/shots/{shotId}/gyro-config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primary 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…/shots/{shotId}/binary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primary binary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…/shots/{shotId}/binary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primary binary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…/shots/{shotId}/binary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gyro binary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…/shots/{shotId}/gyro-binary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gyro binary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…/shots/{shotId}/gyro-binary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gyro binary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…/shots/{shotId}/gyro-binary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shot comments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…/shots/{shotId}/comments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comment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…/shots/{shotId}/comments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shot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…/shots/{shotId}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4"/>
    <w:bookmarkStart w:id="35" w:name="calibration-tenant-snapshot"/>
    <w:p>
      <w:pPr>
        <w:pStyle w:val="Heading2"/>
      </w:pPr>
      <w:r>
        <w:t xml:space="preserve">6.12 Calibration (tenant snapshot)</w:t>
      </w:r>
    </w:p>
    <w:p>
      <w:pPr>
        <w:pStyle w:val="FirstParagraph"/>
      </w:pPr>
      <w:r>
        <w:t xml:space="preserve">Tenant-side Calibrations are immutable snapshots created automatically when a</w:t>
      </w:r>
      <w:r>
        <w:t xml:space="preserve"> </w:t>
      </w:r>
      <w:r>
        <w:rPr>
          <w:rStyle w:val="VerbatimChar"/>
        </w:rPr>
        <w:t xml:space="preserve">ToolId</w:t>
      </w:r>
      <w:r>
        <w:t xml:space="preserve"> </w:t>
      </w:r>
      <w:r>
        <w:t xml:space="preserve">is assigned to a Run. There are no direct mutation endpoints.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calibrations for run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…/runs/{r}/calibrations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calibration snapshot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…/calibrations/{calId}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5"/>
    <w:bookmarkStart w:id="36" w:name="tenant-audit"/>
    <w:p>
      <w:pPr>
        <w:pStyle w:val="Heading2"/>
      </w:pPr>
      <w:r>
        <w:t xml:space="preserve">6.13 Tenant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tenant audit (paginated)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/tenants/{c}/audit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audit 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/tenants/{c}/audit/csv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entity 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/tenants/{c}/audit/{entityType}/{entityId}</w:t>
            </w:r>
          </w:p>
        </w:tc>
        <w:tc>
          <w:tcPr/>
          <w:p>
            <w:pPr>
              <w:pStyle w:val="Compact"/>
            </w:pPr>
            <w:r>
              <w:t xml:space="preserve">CanAccessTenant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6"/>
    <w:bookmarkEnd w:id="37"/>
    <w:bookmarkStart w:id="42" w:name="identity-host-endpoints"/>
    <w:p>
      <w:pPr>
        <w:pStyle w:val="Heading1"/>
      </w:pPr>
      <w:r>
        <w:t xml:space="preserve">7. Identity-host endpoints</w:t>
      </w:r>
    </w:p>
    <w:p>
      <w:pPr>
        <w:pStyle w:val="FirstParagraph"/>
      </w:pPr>
      <w:r>
        <w:t xml:space="preserve">The Identity host (port 5196) owns user management and self-service preferences. Its policies are independent from the WebApi’s; see</w:t>
      </w:r>
      <w:r>
        <w:t xml:space="preserve"> </w:t>
      </w:r>
      <w:hyperlink r:id="rId13">
        <w:r>
          <w:rPr>
            <w:rStyle w:val="VerbatimChar"/>
          </w:rPr>
          <w:t xml:space="preserve">Identity Program.cs</w:t>
        </w:r>
      </w:hyperlink>
      <w:r>
        <w:t xml:space="preserve"> </w:t>
      </w:r>
      <w:r>
        <w:t xml:space="preserve">for the bindings.</w:t>
      </w:r>
    </w:p>
    <w:bookmarkStart w:id="38" w:name="user-administration-adminusers"/>
    <w:p>
      <w:pPr>
        <w:pStyle w:val="Heading2"/>
      </w:pPr>
      <w:r>
        <w:t xml:space="preserve">7.1 User administration (</w:t>
      </w:r>
      <w:r>
        <w:rPr>
          <w:rStyle w:val="VerbatimChar"/>
        </w:rPr>
        <w:t xml:space="preserve">/admin/users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EnkiAdminOrOffice</w:t>
      </w:r>
      <w:r>
        <w:t xml:space="preserve"> </w:t>
      </w:r>
      <w:r>
        <w:t xml:space="preserve">policy passes for Office+ AND admin, but actions whose target is a Team-type user further require admin (per-action</w:t>
      </w:r>
      <w:r>
        <w:t xml:space="preserve"> </w:t>
      </w:r>
      <w:r>
        <w:rPr>
          <w:rStyle w:val="VerbatimChar"/>
        </w:rPr>
        <w:t xml:space="preserve">RequireSufficientAuthorityFor</w:t>
      </w:r>
      <w:r>
        <w:t xml:space="preserve"> </w:t>
      </w:r>
      <w:r>
        <w:t xml:space="preserve">check inside the controller body).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users (paginated)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user detail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/admin/users/{id}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user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user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user (Tenant target)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/admin/users/{id}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user (Team target)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/admin/users/{id}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account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/admin/users/{id}/lock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account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/admin/users/{id}/lock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 account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/admin/users/{id}/unlock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 account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/admin/users/{id}/unlock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password reset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/admin/users/{id}/reset-password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password reset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/admin/users/{id}/reset-password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session lifetime (Tenant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/admin/users/{id}/session-lifetime</w:t>
            </w:r>
          </w:p>
        </w:tc>
        <w:tc>
          <w:tcPr/>
          <w:p>
            <w:pPr>
              <w:pStyle w:val="Compact"/>
            </w:pPr>
            <w:r>
              <w:t xml:space="preserve">EnkiAdminOrOffice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 session lifetime (Team target)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/admin/users/{id}/session-lifetime</w:t>
            </w:r>
          </w:p>
        </w:tc>
        <w:tc>
          <w:tcPr/>
          <w:p>
            <w:pPr>
              <w:pStyle w:val="Compact"/>
            </w:pPr>
            <w:r>
              <w:t xml:space="preserve">EnkiAdminOrOffice⁴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/admin/users/{id}/admin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capability claim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/admin/users/{id}/capabilities/{cap}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capability claim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/admin/users/{id}/capabilities/{cap}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⁴ Per-target tightening: Office reaches the action via the policy gate, but the action body’s</w:t>
      </w:r>
      <w:r>
        <w:t xml:space="preserve"> </w:t>
      </w:r>
      <w:r>
        <w:rPr>
          <w:rStyle w:val="VerbatimChar"/>
        </w:rPr>
        <w:t xml:space="preserve">RequireSufficientAuthorityFor</w:t>
      </w:r>
      <w:r>
        <w:t xml:space="preserve"> </w:t>
      </w:r>
      <w:r>
        <w:t xml:space="preserve">check denies any mutation against a Team-type target. Only admin can mutate Team-type users.</w:t>
      </w:r>
    </w:p>
    <w:bookmarkEnd w:id="38"/>
    <w:bookmarkStart w:id="39" w:name="identity-audit-feeds"/>
    <w:p>
      <w:pPr>
        <w:pStyle w:val="Heading2"/>
      </w:pPr>
      <w:r>
        <w:t xml:space="preserve">7.2 Identity audit feeds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identity audit (admin actions)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/admin/audit/identity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auth events (sign-ins, lockouts, token issuance)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/admin/audit/auth-events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events 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/admin/audit/auth-events/csv</w:t>
            </w:r>
          </w:p>
        </w:tc>
        <w:tc>
          <w:tcPr/>
          <w:p>
            <w:pPr>
              <w:pStyle w:val="Compact"/>
            </w:pPr>
            <w:r>
              <w:t xml:space="preserve">EnkiAdmin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39"/>
    <w:bookmarkStart w:id="40" w:name="self-service-identity-me"/>
    <w:p>
      <w:pPr>
        <w:pStyle w:val="Heading2"/>
      </w:pPr>
      <w:r>
        <w:t xml:space="preserve">7.3 Self-service identity (</w:t>
      </w:r>
      <w:r>
        <w:rPr>
          <w:rStyle w:val="VerbatimChar"/>
        </w:rPr>
        <w:t xml:space="preserve">/me</w:t>
      </w:r>
      <w:r>
        <w:t xml:space="preserve">)</w:t>
      </w:r>
    </w:p>
    <w:p>
      <w:pPr>
        <w:pStyle w:val="FirstParagraph"/>
      </w:pPr>
      <w:r>
        <w:t xml:space="preserve">Any signed-in user — no role gate beyond authentication.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my preferences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/me/preferences</w:t>
            </w:r>
          </w:p>
        </w:tc>
        <w:tc>
          <w:tcPr/>
          <w:p>
            <w:pPr>
              <w:pStyle w:val="Compact"/>
            </w:pPr>
            <w:r>
              <w:t xml:space="preserve">(any signed-in)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my preferences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/me/preferences</w:t>
            </w:r>
          </w:p>
        </w:tc>
        <w:tc>
          <w:tcPr/>
          <w:p>
            <w:pPr>
              <w:pStyle w:val="Compact"/>
            </w:pPr>
            <w:r>
              <w:t xml:space="preserve">(any signed-in)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my password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/me/change-password</w:t>
            </w:r>
          </w:p>
        </w:tc>
        <w:tc>
          <w:tcPr/>
          <w:p>
            <w:pPr>
              <w:pStyle w:val="Compact"/>
            </w:pPr>
            <w:r>
              <w:t xml:space="preserve">(any signed-in)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40"/>
    <w:bookmarkStart w:id="41" w:name="self-service-webapi-me"/>
    <w:p>
      <w:pPr>
        <w:pStyle w:val="Heading2"/>
      </w:pPr>
      <w:r>
        <w:t xml:space="preserve">7.4 Self-service WebApi (</w:t>
      </w:r>
      <w:r>
        <w:rPr>
          <w:rStyle w:val="VerbatimChar"/>
        </w:rPr>
        <w:t xml:space="preserve">/me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1070"/>
        <w:gridCol w:w="1070"/>
        <w:gridCol w:w="1070"/>
        <w:gridCol w:w="1070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Tenant-bound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my tenant memberships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/me/memberships</w:t>
            </w:r>
          </w:p>
        </w:tc>
        <w:tc>
          <w:tcPr/>
          <w:p>
            <w:pPr>
              <w:pStyle w:val="Compact"/>
            </w:pPr>
            <w:r>
              <w:t xml:space="preserve">EnkiApiScope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</w:tr>
    </w:tbl>
    <w:bookmarkEnd w:id="41"/>
    <w:bookmarkEnd w:id="42"/>
    <w:bookmarkStart w:id="43" w:name="cross-cutting-rules"/>
    <w:p>
      <w:pPr>
        <w:pStyle w:val="Heading1"/>
      </w:pPr>
      <w:r>
        <w:t xml:space="preserve">8. Cross-cutting rules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 deactivation = hard 404.</w:t>
      </w:r>
      <w:r>
        <w:t xml:space="preserve"> </w:t>
      </w:r>
      <w:r>
        <w:t xml:space="preserve">When a tenant’s</w:t>
      </w:r>
      <w:r>
        <w:t xml:space="preserve"> </w:t>
      </w:r>
      <w:r>
        <w:rPr>
          <w:rStyle w:val="VerbatimChar"/>
        </w:rPr>
        <w:t xml:space="preserve">Status != Active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TenantRoutingMiddleware</w:t>
      </w:r>
      <w:r>
        <w:t xml:space="preserve"> </w:t>
      </w:r>
      <w:r>
        <w:t xml:space="preserve">returns 404 (RFC 7807) on every tenant-scoped route, regardless of the caller’s role.</w:t>
      </w:r>
      <w:r>
        <w:t xml:space="preserve"> </w:t>
      </w:r>
      <w:r>
        <w:rPr>
          <w:b/>
          <w:bCs/>
        </w:rPr>
        <w:t xml:space="preserve">enki-admin does NOT bypass this</w:t>
      </w:r>
      <w:r>
        <w:t xml:space="preserve"> </w:t>
      </w:r>
      <w:r>
        <w:t xml:space="preserve">— admins must reactivate via</w:t>
      </w:r>
      <w:r>
        <w:t xml:space="preserve"> </w:t>
      </w:r>
      <w:r>
        <w:rPr>
          <w:rStyle w:val="VerbatimChar"/>
        </w:rPr>
        <w:t xml:space="preserve">POST /tenants/{code}/reactivate</w:t>
      </w:r>
      <w:r>
        <w:t xml:space="preserve"> </w:t>
      </w:r>
      <w:r>
        <w:t xml:space="preserve">(master-scoped, so unaffected) before tenant data is reachable again.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Membership cache.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(IdentityId, TenantCode)</w:t>
      </w:r>
      <w:r>
        <w:t xml:space="preserve"> </w:t>
      </w:r>
      <w:r>
        <w:t xml:space="preserve">membership decision is cached for 60 seconds. Adding or removing a member busts the entry via</w:t>
      </w:r>
      <w:r>
        <w:t xml:space="preserve"> </w:t>
      </w:r>
      <w:r>
        <w:rPr>
          <w:rStyle w:val="VerbatimChar"/>
        </w:rPr>
        <w:t xml:space="preserve">MembershipCacheKey(...)</w:t>
      </w:r>
      <w:r>
        <w:t xml:space="preserve"> </w:t>
      </w:r>
      <w:r>
        <w:t xml:space="preserve">so changes take effect immediately for the affected user.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Tenant-id-to-code cache.</w:t>
      </w:r>
      <w:r>
        <w:t xml:space="preserve"> </w:t>
      </w:r>
      <w:r>
        <w:t xml:space="preserve">Tenant-bound users’ bind-check uses a 60-second cache for the GUID → Code lookup. Lifecycle changes (deactivate/archive) invalidate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Soft-delete.</w:t>
      </w:r>
      <w:r>
        <w:t xml:space="preserve"> </w:t>
      </w:r>
      <w:r>
        <w:t xml:space="preserve">Wells, Runs, Jobs, and (cascade) Surveys/Logs/Shots use an</w:t>
      </w:r>
      <w:r>
        <w:t xml:space="preserve"> </w:t>
      </w:r>
      <w:r>
        <w:rPr>
          <w:rStyle w:val="VerbatimChar"/>
        </w:rPr>
        <w:t xml:space="preserve">ArchivedAt</w:t>
      </w:r>
      <w:r>
        <w:t xml:space="preserve"> </w:t>
      </w:r>
      <w:r>
        <w:t xml:space="preserve">timestamp + global query filter rather than physical deletion. The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listing endpoints bypass the filter for restore flows.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Denial auditing.</w:t>
      </w:r>
      <w:r>
        <w:t xml:space="preserve"> </w:t>
      </w:r>
      <w:r>
        <w:t xml:space="preserve">Every policy denial flows through</w:t>
      </w:r>
      <w:r>
        <w:t xml:space="preserve"> </w:t>
      </w:r>
      <w:r>
        <w:rPr>
          <w:rStyle w:val="VerbatimChar"/>
        </w:rPr>
        <w:t xml:space="preserve">IAuthzDenialAuditor</w:t>
      </w:r>
      <w:r>
        <w:t xml:space="preserve"> </w:t>
      </w:r>
      <w:r>
        <w:t xml:space="preserve">and lands in</w:t>
      </w:r>
      <w:r>
        <w:t xml:space="preserve"> </w:t>
      </w:r>
      <w:r>
        <w:rPr>
          <w:rStyle w:val="VerbatimChar"/>
        </w:rPr>
        <w:t xml:space="preserve">MasterAuditLog</w:t>
      </w:r>
      <w:r>
        <w:t xml:space="preserve"> </w:t>
      </w:r>
      <w:r>
        <w:t xml:space="preserve">with a structured reason (</w:t>
      </w:r>
      <w:r>
        <w:rPr>
          <w:rStyle w:val="VerbatimChar"/>
        </w:rPr>
        <w:t xml:space="preserve">NotAMember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InsufficientSubtypeOrCapability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TenantUserBoundToDifferentTenant</w:t>
      </w:r>
      <w:r>
        <w:t xml:space="preserve">, etc.). Visible in the master audit feed (</w:t>
      </w:r>
      <w:r>
        <w:rPr>
          <w:rStyle w:val="VerbatimChar"/>
        </w:rPr>
        <w:t xml:space="preserve">EnkiAdminOnly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Defence-in-depth.</w:t>
      </w:r>
      <w:r>
        <w:t xml:space="preserve"> </w:t>
      </w:r>
      <w:r>
        <w:t xml:space="preserve">UI gating in Blazor mirrors policy decisions but does not enforce them — every API response goes through the same</w:t>
      </w:r>
      <w:r>
        <w:t xml:space="preserve"> </w:t>
      </w:r>
      <w:r>
        <w:rPr>
          <w:rStyle w:val="VerbatimChar"/>
        </w:rPr>
        <w:t xml:space="preserve">TeamAuthHandler</w:t>
      </w:r>
      <w:r>
        <w:t xml:space="preserve"> </w:t>
      </w:r>
      <w:r>
        <w:t xml:space="preserve">check on the WebApi side. Hidden buttons are usability; the server’s 403 is the security.</w:t>
      </w:r>
    </w:p>
    <w:bookmarkEnd w:id="43"/>
    <w:bookmarkStart w:id="47" w:name="references"/>
    <w:p>
      <w:pPr>
        <w:pStyle w:val="Heading1"/>
      </w:pPr>
      <w:r>
        <w:t xml:space="preserve">9. References</w:t>
      </w:r>
    </w:p>
    <w:p>
      <w:pPr>
        <w:pStyle w:val="Compact"/>
        <w:numPr>
          <w:ilvl w:val="0"/>
          <w:numId w:val="1006"/>
        </w:numPr>
      </w:pPr>
      <w:r>
        <w:t xml:space="preserve">Source:</w:t>
      </w:r>
      <w:r>
        <w:t xml:space="preserve"> </w:t>
      </w:r>
      <w:hyperlink r:id="rId12">
        <w:r>
          <w:rPr>
            <w:rStyle w:val="VerbatimChar"/>
          </w:rPr>
          <w:t xml:space="preserve">src/SDI.Enki.Shared/Authorization/EnkiPolicies.cs</w:t>
        </w:r>
      </w:hyperlink>
      <w:r>
        <w:t xml:space="preserve"> </w:t>
      </w:r>
      <w:r>
        <w:t xml:space="preserve">(policy names + intent)</w:t>
      </w:r>
    </w:p>
    <w:p>
      <w:pPr>
        <w:pStyle w:val="Compact"/>
        <w:numPr>
          <w:ilvl w:val="0"/>
          <w:numId w:val="1006"/>
        </w:numPr>
      </w:pPr>
      <w:r>
        <w:t xml:space="preserve">Decision tree:</w:t>
      </w:r>
      <w:r>
        <w:t xml:space="preserve"> </w:t>
      </w:r>
      <w:hyperlink r:id="rId44">
        <w:r>
          <w:rPr>
            <w:rStyle w:val="VerbatimChar"/>
          </w:rPr>
          <w:t xml:space="preserve">src/SDI.Enki.WebApi/Authorization/TeamAuthRequirement.cs</w:t>
        </w:r>
      </w:hyperlink>
    </w:p>
    <w:p>
      <w:pPr>
        <w:pStyle w:val="Compact"/>
        <w:numPr>
          <w:ilvl w:val="0"/>
          <w:numId w:val="1006"/>
        </w:numPr>
      </w:pPr>
      <w:r>
        <w:t xml:space="preserve">Claim materialisation:</w:t>
      </w:r>
      <w:r>
        <w:t xml:space="preserve"> </w:t>
      </w:r>
      <w:hyperlink r:id="rId45">
        <w:r>
          <w:rPr>
            <w:rStyle w:val="VerbatimChar"/>
          </w:rPr>
          <w:t xml:space="preserve">src/SDI.Enki.Identity/Data/EnkiUserClaimsPrincipalFactory.cs</w:t>
        </w:r>
      </w:hyperlink>
    </w:p>
    <w:p>
      <w:pPr>
        <w:pStyle w:val="Compact"/>
        <w:numPr>
          <w:ilvl w:val="0"/>
          <w:numId w:val="1006"/>
        </w:numPr>
      </w:pPr>
      <w:r>
        <w:t xml:space="preserve">Routing 404:</w:t>
      </w:r>
      <w:r>
        <w:t xml:space="preserve"> </w:t>
      </w:r>
      <w:hyperlink r:id="rId46">
        <w:r>
          <w:rPr>
            <w:rStyle w:val="VerbatimChar"/>
          </w:rPr>
          <w:t xml:space="preserve">src/SDI.Enki.WebApi/Multitenancy/TenantRoutingMiddleware.cs</w:t>
        </w:r>
      </w:hyperlink>
    </w:p>
    <w:p>
      <w:pPr>
        <w:pStyle w:val="Compact"/>
        <w:numPr>
          <w:ilvl w:val="0"/>
          <w:numId w:val="1006"/>
        </w:numPr>
      </w:pPr>
      <w:r>
        <w:t xml:space="preserve">Identity host policies:</w:t>
      </w:r>
      <w:r>
        <w:t xml:space="preserve"> </w:t>
      </w:r>
      <w:hyperlink r:id="rId13">
        <w:r>
          <w:rPr>
            <w:rStyle w:val="VerbatimChar"/>
          </w:rPr>
          <w:t xml:space="preserve">src/SDI.Enki.Identity/Program.cs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src/SDI.Enki.Identity/Data/EnkiUserClaimsPrincipalFactory.cs" TargetMode="External" /><Relationship Type="http://schemas.openxmlformats.org/officeDocument/2006/relationships/hyperlink" Id="rId13" Target="../src/SDI.Enki.Identity/Program.cs" TargetMode="External" /><Relationship Type="http://schemas.openxmlformats.org/officeDocument/2006/relationships/hyperlink" Id="rId12" Target="../src/SDI.Enki.Shared/Authorization/EnkiPolicies.cs" TargetMode="External" /><Relationship Type="http://schemas.openxmlformats.org/officeDocument/2006/relationships/hyperlink" Id="rId44" Target="../src/SDI.Enki.WebApi/Authorization/TeamAuthRequirement.cs" TargetMode="External" /><Relationship Type="http://schemas.openxmlformats.org/officeDocument/2006/relationships/hyperlink" Id="rId46" Target="../src/SDI.Enki.WebApi/Multitenancy/TenantRoutingMiddleware.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src/SDI.Enki.Identity/Data/EnkiUserClaimsPrincipalFactory.cs" TargetMode="External" /><Relationship Type="http://schemas.openxmlformats.org/officeDocument/2006/relationships/hyperlink" Id="rId13" Target="../src/SDI.Enki.Identity/Program.cs" TargetMode="External" /><Relationship Type="http://schemas.openxmlformats.org/officeDocument/2006/relationships/hyperlink" Id="rId12" Target="../src/SDI.Enki.Shared/Authorization/EnkiPolicies.cs" TargetMode="External" /><Relationship Type="http://schemas.openxmlformats.org/officeDocument/2006/relationships/hyperlink" Id="rId44" Target="../src/SDI.Enki.WebApi/Authorization/TeamAuthRequirement.cs" TargetMode="External" /><Relationship Type="http://schemas.openxmlformats.org/officeDocument/2006/relationships/hyperlink" Id="rId46" Target="../src/SDI.Enki.WebApi/Multitenancy/TenantRoutingMiddleware.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Access Control Matrix</dc:title>
  <dc:creator>Generated from src/SDI.Enki.Shared/Authorization/EnkiPolicies.cs and the WebApi + Identity controllers</dc:creator>
  <cp:keywords/>
  <dcterms:created xsi:type="dcterms:W3CDTF">2026-05-02T21:59:31Z</dcterms:created>
  <dcterms:modified xsi:type="dcterms:W3CDTF">2026-05-02T21:59:31Z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2026-05-02</vt:lpwstr>
  </property>
  <property fmtid="{D5CDD505-2E9C-101B-9397-08002B2CF9AE}" pid="3" name="subtitle">
    <vt:lpwstr>Per-entity CRUD permissions by team role</vt:lpwstr>
  </property>
</Properties>
</file>