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aced662fe760b8d7c781ff41150240c870089d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290+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don't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you'll need to follow the tests. If you hit a term you don't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f0d75e8</w:t>
      </w:r>
      <w:r>
        <w:t xml:space="preserve"> </w:t>
      </w:r>
      <w:r>
        <w:t xml:space="preserve">plus production-grade follow-ups (#2 audit,</w:t>
      </w:r>
      <w:r>
        <w:t xml:space="preserve"> </w:t>
      </w:r>
      <w:r>
        <w:t xml:space="preserve">#3 pagination, #4 soft-delete, #5 health/telemetry, #6 API versioning)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 </w:t>
      </w:r>
      <w:r>
        <w:t xml:space="preserve">(or a normal start —</w:t>
      </w:r>
      <w:r>
        <w:t xml:space="preserve"> </w:t>
      </w:r>
      <w:r>
        <w:rPr>
          <w:rStyle w:val="VerbatimChar"/>
        </w:rPr>
        <w:t xml:space="preserve">DevTenantMigrator</w:t>
      </w:r>
      <w:r>
        <w:t xml:space="preserve"> </w:t>
      </w:r>
      <w:r>
        <w:t xml:space="preserve">applies any pending tenant migrations on every</w:t>
      </w:r>
      <w:r>
        <w:t xml:space="preserve"> </w:t>
      </w:r>
      <w:r>
        <w:t xml:space="preserve">Dev startup)</w:t>
      </w:r>
    </w:p>
    <w:p>
      <w:pPr>
        <w:pStyle w:val="FirstParagraph"/>
      </w:pPr>
      <w:r>
        <w:t xml:space="preserve">Two passes of additions since the previous draft:</w:t>
      </w:r>
    </w:p>
    <w:p>
      <w:pPr>
        <w:pStyle w:val="BodyText"/>
      </w:pPr>
      <w:r>
        <w:rPr>
          <w:b/>
          <w:bCs/>
        </w:rPr>
        <w:t xml:space="preserve">Pass 1 (commits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c433256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3e53a49</w:t>
      </w:r>
      <w:r>
        <w:rPr>
          <w:b/>
          <w:bCs/>
        </w:rPr>
        <w:t xml:space="preserve">):</w:t>
      </w:r>
      <w:r>
        <w:t xml:space="preserve"> </w:t>
      </w:r>
      <w:r>
        <w:t xml:space="preserve">§ 26.x Optimistic</w:t>
      </w:r>
      <w:r>
        <w:t xml:space="preserve"> </w:t>
      </w:r>
      <w:r>
        <w:t xml:space="preserve">concurrency —</w:t>
      </w:r>
      <w:r>
        <w:t xml:space="preserve"> </w:t>
      </w:r>
      <w:r>
        <w:rPr>
          <w:rStyle w:val="VerbatimChar"/>
        </w:rPr>
        <w:t xml:space="preserve">CONC-</w:t>
      </w:r>
      <w:r>
        <w:t xml:space="preserve"> </w:t>
      </w:r>
      <w:r>
        <w:t xml:space="preserve">tests covering the rowversion-based</w:t>
      </w:r>
      <w:r>
        <w:t xml:space="preserve"> </w:t>
      </w:r>
      <w:r>
        <w:t xml:space="preserve">concurrency layer.</w:t>
      </w:r>
    </w:p>
    <w:p>
      <w:pPr>
        <w:pStyle w:val="BodyText"/>
      </w:pPr>
      <w:r>
        <w:rPr>
          <w:b/>
          <w:bCs/>
        </w:rPr>
        <w:t xml:space="preserve">Pass 2 (production-grade hardening):</w:t>
      </w:r>
      <w:r>
        <w:t xml:space="preserve"> </w:t>
      </w:r>
      <w:r>
        <w:t xml:space="preserve">five cross-cutting</w:t>
      </w:r>
      <w:r>
        <w:t xml:space="preserve"> </w:t>
      </w:r>
      <w:r>
        <w:t xml:space="preserve">features that take the WebApi from "works on my machine" to</w:t>
      </w:r>
      <w:r>
        <w:t xml:space="preserve"> </w:t>
      </w:r>
      <w:r>
        <w:t xml:space="preserve">"safe to point at customers":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Audit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AUDH-</w:t>
      </w:r>
      <w:r>
        <w:t xml:space="preserve">) — every IAuditable mutation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table; Job and Well</w:t>
      </w:r>
      <w:r>
        <w:t xml:space="preserve"> </w:t>
      </w:r>
      <w:r>
        <w:t xml:space="preserve">detail pages show a "Recent changes" tile.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Well soft-delete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ARC-</w:t>
      </w:r>
      <w:r>
        <w:t xml:space="preserve">) — Delete sets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rather than removing the row; Restore brings it back; old</w:t>
      </w:r>
      <w:r>
        <w:t xml:space="preserve"> </w:t>
      </w:r>
      <w:r>
        <w:t xml:space="preserve">"child rows → 409" guard is gone (soft-delete is non-destructive).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HLT-</w:t>
      </w:r>
      <w:r>
        <w:t xml:space="preserve">) — split into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(k8s liveness — no external deps),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(DB connectivity), and the aggregate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API versioning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VER-</w:t>
      </w:r>
      <w:r>
        <w:t xml:space="preserve">) — default v1.0, accepted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PAG-</w:t>
      </w:r>
      <w:r>
        <w:t xml:space="preserve">) — Surveys list now wire-paged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default and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ceiling.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8–18. Per-feature tests (auth → surveys)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 up to and including the surveys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Unit cascade</w:t>
            </w:r>
          </w:p>
        </w:tc>
        <w:tc>
          <w:tcPr/>
          <w:p>
            <w:pPr>
              <w:pStyle w:val="Compact"/>
            </w:pPr>
            <w:r>
              <w:t xml:space="preserve">Reference card + round-trip on every unit-bearing input + override-unit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20–26. Per-feature tests (tubulars → cross-cutting)</w:t>
            </w:r>
          </w:p>
        </w:tc>
        <w:tc>
          <w:tcPr/>
          <w:p>
            <w:pPr>
              <w:pStyle w:val="Compact"/>
            </w:pPr>
            <w:r>
              <w:t xml:space="preserve">Tubulars / formations / common measures / plots / seed audit / regression watch / cross-cutting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X5508b397684bf4192a0d8d0a48692b0135f807f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It's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they're being drilled.</w:t>
      </w:r>
    </w:p>
    <w:p>
      <w:pPr>
        <w:pStyle w:val="BodyText"/>
      </w:pPr>
      <w:r>
        <w:t xml:space="preserve">The "survey" 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doesn't mean a questionnaire — it</w:t>
      </w:r>
      <w:r>
        <w:t xml:space="preserve"> </w:t>
      </w:r>
      <w:r>
        <w:t xml:space="preserve">means a measurement of the wellbore's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-job--well-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you'll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 "multi-tenant" 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who's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you'll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they're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You'll see them throughout this doc.</w:t>
      </w:r>
    </w:p>
    <w:bookmarkEnd w:id="14"/>
    <w:bookmarkEnd w:id="15"/>
    <w:bookmarkStart w:id="25" w:name="Xbfb816747b28640329a7d9182dba6061afa54dd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doesn't make sense, ask;</w:t>
      </w:r>
      <w:r>
        <w:t xml:space="preserve"> </w:t>
      </w:r>
      <w:r>
        <w:t xml:space="preserve">the geometry takes a few minutes to click but it's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It's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5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5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5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6"/>
        </w:numPr>
      </w:pPr>
      <w:r>
        <w:t xml:space="preserve">0° / 360° = north</w:t>
      </w:r>
    </w:p>
    <w:p>
      <w:pPr>
        <w:pStyle w:val="Compact"/>
        <w:numPr>
          <w:ilvl w:val="1"/>
          <w:numId w:val="1006"/>
        </w:numPr>
      </w:pPr>
      <w:r>
        <w:t xml:space="preserve">90° = east</w:t>
      </w:r>
    </w:p>
    <w:p>
      <w:pPr>
        <w:pStyle w:val="Compact"/>
        <w:numPr>
          <w:ilvl w:val="1"/>
          <w:numId w:val="1006"/>
        </w:numPr>
      </w:pPr>
      <w:r>
        <w:t xml:space="preserve">180° = south</w:t>
      </w:r>
    </w:p>
    <w:p>
      <w:pPr>
        <w:pStyle w:val="Compact"/>
        <w:numPr>
          <w:ilvl w:val="1"/>
          <w:numId w:val="1006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can't compute "where is this station in 3D" 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</w:p>
    <w:p>
      <w:pPr>
        <w:pStyle w:val="Compact"/>
        <w:numPr>
          <w:ilvl w:val="0"/>
          <w:numId w:val="1007"/>
        </w:numPr>
      </w:pPr>
      <w:r>
        <w:t xml:space="preserve">Depth, inclination, azimuth (where the anchor sits)</w:t>
      </w:r>
    </w:p>
    <w:p>
      <w:pPr>
        <w:pStyle w:val="Compact"/>
        <w:numPr>
          <w:ilvl w:val="0"/>
          <w:numId w:val="1007"/>
        </w:numPr>
      </w:pPr>
      <w:r>
        <w:t xml:space="preserve">Northing, Easting (the surface coordinates of the anchor on the</w:t>
      </w:r>
      <w:r>
        <w:t xml:space="preserve"> </w:t>
      </w:r>
      <w:r>
        <w:t xml:space="preserve">earth's grid — large numbers, like UTM coordinates)</w:t>
      </w:r>
    </w:p>
    <w:p>
      <w:pPr>
        <w:pStyle w:val="Compact"/>
        <w:numPr>
          <w:ilvl w:val="0"/>
          <w:numId w:val="1007"/>
        </w:numPr>
      </w:pPr>
      <w:r>
        <w:t xml:space="preserve">Vertical reference (the vertical depth assigned to the anchor)</w:t>
      </w:r>
    </w:p>
    <w:p>
      <w:pPr>
        <w:pStyle w:val="Compact"/>
        <w:numPr>
          <w:ilvl w:val="0"/>
          <w:numId w:val="1007"/>
        </w:numPr>
      </w:pPr>
      <w:r>
        <w:t xml:space="preserve">Sub-sea reference (depth below mean sea level)</w:t>
      </w:r>
    </w:p>
    <w:p>
      <w:pPr>
        <w:pStyle w:val="Compact"/>
        <w:numPr>
          <w:ilvl w:val="0"/>
          <w:numId w:val="1007"/>
        </w:numPr>
      </w:pPr>
      <w:r>
        <w:t xml:space="preserve">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FirstParagraph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 "Delete tie-on",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don't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8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8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8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well's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shouldn't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you'll see input columns and</w:t>
      </w:r>
      <w:r>
        <w:t xml:space="preserve"> </w:t>
      </w:r>
      <w:r>
        <w:t xml:space="preserve">computed columns. Here's what each computed column is: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 "hard dogleg" 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 "how far have I drilled in the</w:t>
      </w:r>
      <w:r>
        <w:t xml:space="preserve"> </w:t>
      </w:r>
      <w:r>
        <w:t xml:space="preserve">target direction, ignoring the perpendicular drift".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earth's magnetic</w:t>
      </w:r>
      <w:r>
        <w:t xml:space="preserve"> </w:t>
      </w:r>
      <w:r>
        <w:t xml:space="preserve">field, but the magnetic field doesn't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don't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"cleared" (resetting the well's magnetics back to "not set").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isn't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 "Wolfcamp", "Sherwood", "Bone Spring"), a</w:t>
      </w:r>
      <w:r>
        <w:t xml:space="preserve"> </w:t>
      </w:r>
      <w:r>
        <w:t xml:space="preserve">from-TVD, to-TVD, and a "resistance" 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don't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"Macondo-style relief-well intercept" 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well's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target's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You'll see this matter in tests where:</w:t>
      </w:r>
    </w:p>
    <w:p>
      <w:pPr>
        <w:pStyle w:val="Compact"/>
        <w:numPr>
          <w:ilvl w:val="0"/>
          <w:numId w:val="1013"/>
        </w:numPr>
      </w:pPr>
      <w:r>
        <w:t xml:space="preserve">The Surveys grid for a PERMIAN job shows depths in</w:t>
      </w:r>
      <w:r>
        <w:t xml:space="preserve"> </w:t>
      </w:r>
      <w:r>
        <w:rPr>
          <w:b/>
          <w:bCs/>
        </w:rPr>
        <w:t xml:space="preserve">ft</w:t>
      </w:r>
    </w:p>
    <w:p>
      <w:pPr>
        <w:pStyle w:val="Compact"/>
        <w:numPr>
          <w:ilvl w:val="0"/>
          <w:numId w:val="1013"/>
        </w:numPr>
      </w:pPr>
      <w:r>
        <w:t xml:space="preserve">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13"/>
        </w:numPr>
      </w:pPr>
      <w:r>
        <w:t xml:space="preserve">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isn't job-scoped (e.g. 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X4c6af84f6e6862a5d9a19da5db4b85aeae5dafa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don't</w:t>
      </w:r>
      <w:r>
        <w:t xml:space="preserve"> </w:t>
      </w:r>
      <w:r>
        <w:t xml:space="preserve">need to interact with them directly, but seeing what's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Marduk's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Xae8cb34901abf3a8cd107b86086bbb9587532fb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5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5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 "Application started"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You'll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 "sign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" 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you're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X713db65ffe857a3be334a7c8e1e9247e6830dff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 (CreatedBy/UpdatedBy on detail 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</w:t>
            </w:r>
          </w:p>
        </w:tc>
        <w:tc>
          <w:tcPr/>
          <w:p>
            <w:pPr>
              <w:pStyle w:val="Compact"/>
            </w:pPr>
            <w:r>
              <w:t xml:space="preserve">Audit history (per-entity change log + UI tile)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Well soft-delete / archive /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</w:t>
            </w:r>
          </w:p>
        </w:tc>
        <w:tc>
          <w:tcPr/>
          <w:p>
            <w:pPr>
              <w:pStyle w:val="Compact"/>
            </w:pPr>
            <w:r>
              <w:t xml:space="preserve">Health-check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API versioning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</w:t>
            </w:r>
          </w:p>
        </w:tc>
        <w:tc>
          <w:tcPr/>
          <w:p>
            <w:pPr>
              <w:pStyle w:val="Compact"/>
            </w:pPr>
            <w:r>
              <w:t xml:space="preserve">Pagination (Surveys wire shape)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Optimistic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camera_flash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 "the chart drew something" 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 "red flag"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Xb409b5d0977be02cc88d719a0765037ffa6a9cc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you'll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 "Application started" 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SMK-12</w:t>
            </w:r>
          </w:p>
        </w:tc>
        <w:tc>
          <w:tcPr/>
          <w:p>
            <w:pPr>
              <w:pStyle w:val="Compact"/>
            </w:pPr>
            <w:r>
              <w:t xml:space="preserve">Edit any Job's Description (PERMIAN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the text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) → redirects to detail with the new value, no error banner. (Confirms the optimistic-concurrency RowVersion round-trips through a normal edit. The deeper conflict tests live in § 26.)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SMK-01–12 all pass, proceed. If SMK-08 (computed trajectory</w:t>
      </w:r>
      <w:r>
        <w:t xml:space="preserve"> </w:t>
      </w:r>
      <w:r>
        <w:t xml:space="preserve">columns) shows zeros or NaN/blank, the Marduk auto-calc isn't</w:t>
      </w:r>
      <w:r>
        <w:t xml:space="preserve"> </w:t>
      </w:r>
      <w:r>
        <w:t xml:space="preserve">running — escalate before continuing.</w:t>
      </w:r>
    </w:p>
    <w:p>
      <w:pPr>
        <w:pStyle w:val="BodyText"/>
      </w:pPr>
      <w:r>
        <w:t xml:space="preserve">If SMK-12 fails with a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alert on the very first save,</w:t>
      </w:r>
      <w:r>
        <w:t xml:space="preserve"> </w:t>
      </w:r>
      <w:r>
        <w:t xml:space="preserve">the Blazor edit page isn't sending the RowVersion the server is</w:t>
      </w:r>
      <w:r>
        <w:t xml:space="preserve"> </w:t>
      </w:r>
      <w:r>
        <w:t xml:space="preserve">expecting — file a bug rather than retrying.</w:t>
      </w:r>
    </w:p>
    <w:bookmarkEnd w:id="34"/>
    <w:bookmarkStart w:id="37" w:name="Xd8cb745421aa82756814af02f041b32c939e59c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That a fresh visitor can't see Enki's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That's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 "Invalid login attempt";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 "Gavin Helboe" 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 "Sign in" 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 — long session.</w:t>
            </w:r>
            <w:r>
              <w:t xml:space="preserve"> </w:t>
            </w:r>
            <w:r>
              <w:t xml:space="preserve">Sign in, leave the browser tab open for</w:t>
            </w:r>
            <w:r>
              <w:t xml:space="preserve"> </w:t>
            </w:r>
            <w:r>
              <w:rPr>
                <w:b/>
                <w:bCs/>
              </w:rPr>
              <w:t xml:space="preserve">at least 1 hour 5 minutes</w:t>
            </w:r>
            <w:r>
              <w:t xml:space="preserve"> </w:t>
            </w:r>
            <w:r>
              <w:t xml:space="preserve">(a typical OIDC access-token TTL is 1 h, the cache refreshes 30 s before expiry). Click any tenant / job / wells page. The page renders data; you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redirected to the sign-in screen. The Identity host's window log shows a</w:t>
            </w:r>
            <w:r>
              <w:t xml:space="preserve"> </w:t>
            </w:r>
            <w:r>
              <w:rPr>
                <w:rStyle w:val="VerbatimChar"/>
              </w:rPr>
              <w:t xml:space="preserve">POST /connect/token grant_type=refresh_token</w:t>
            </w:r>
            <w:r>
              <w:t xml:space="preserve"> </w:t>
            </w:r>
            <w:r>
              <w:t xml:space="preserve">entry around the 1-hour mark.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AUTH-08</w:t>
            </w:r>
          </w:p>
        </w:tc>
        <w:tc>
          <w:tcPr/>
          <w:p>
            <w:pPr>
              <w:pStyle w:val="Compact"/>
            </w:pPr>
            <w:r>
              <w:t xml:space="preserve">After AUTH-07's refresh, perform any data-mutating action (edit a survey, add a member). The action persists; no 401 surfaces. (Confirms the refreshed access_token is being attached to the next request.)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X42faeaf2b0879ec9b3b00c367fb3a3fd6abdac9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isn't job-scoped — e.g. on a cross-tenant view, the unit cascade</w:t>
      </w:r>
      <w:r>
        <w:t xml:space="preserve"> </w:t>
      </w:r>
      <w:r>
        <w:t xml:space="preserve">falls back to the user's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user's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"Preferred unit system" 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Xe65e1721e0fa3ebf93cd1b21b9f3081978c3c86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You're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wouldn't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 "admin" 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 "locked" pill appears; the lockout row shows "Locked until 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 "locked"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(it's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X6443f3115f4d52363e9e8042a4b47b1df260ab4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Xf264e3e3a130fe1a60f6781d88fb743e444412d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You're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won't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-edit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isn't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 "Inactive".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 "Active".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Xa911400afe4d6728db810c6d53272787dca82bb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tenant's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"Add member" 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 "Select a user".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-remove"/>
    <w:p>
      <w:pPr>
        <w:pStyle w:val="Heading2"/>
      </w:pPr>
      <w:r>
        <w:t xml:space="preserve">Edit role + remove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member's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X044f09a7dac7a65dbfcd81cbbd9054648f9db18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PERMIAN's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Job's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 "Not Found" 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PERMIAN's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job's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-edit-1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 "Archived jobs are read-only." 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 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X656dd6950c2f39a2fa3fc362d73ea138dbee531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 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well's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well's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 "No magnetic reference recorded yet" with a "Set magnetic reference"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 any seeded well). The well is</w:t>
            </w:r>
            <w:r>
              <w:t xml:space="preserve"> </w:t>
            </w:r>
            <w:r>
              <w:rPr>
                <w:b/>
                <w:bCs/>
              </w:rPr>
              <w:t xml:space="preserve">soft-archived</w:t>
            </w:r>
            <w:r>
              <w:t xml:space="preserve"> </w:t>
            </w:r>
            <w:r>
              <w:t xml:space="preserve">(sets</w:t>
            </w:r>
            <w:r>
              <w:t xml:space="preserve"> </w:t>
            </w:r>
            <w:r>
              <w:rPr>
                <w:rStyle w:val="VerbatimChar"/>
              </w:rPr>
              <w:t xml:space="preserve">ArchivedAt</w:t>
            </w:r>
            <w:r>
              <w:t xml:space="preserve"> </w:t>
            </w:r>
            <w:r>
              <w:t xml:space="preserve">rather than removing the row) — child rows stay in the DB, the well disappears from the wells list, and</w:t>
            </w:r>
            <w:r>
              <w:t xml:space="preserve"> </w:t>
            </w:r>
            <w:r>
              <w:rPr>
                <w:rStyle w:val="VerbatimChar"/>
              </w:rPr>
              <w:t xml:space="preserve">/wells/archived</w:t>
            </w:r>
            <w:r>
              <w:t xml:space="preserve"> </w:t>
            </w:r>
            <w:r>
              <w:t xml:space="preserve">(or the per-job archived endpoint) lists it. The previous "Has children → 409" guard is gone because soft-archive is non-destructive. Restorable via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. See</w:t>
            </w:r>
            <w:r>
              <w:t xml:space="preserve"> </w:t>
            </w:r>
            <w:r>
              <w:rPr>
                <w:rStyle w:val="VerbatimChar"/>
              </w:rPr>
              <w:t xml:space="preserve">ARC-*</w:t>
            </w:r>
            <w:r>
              <w:t xml:space="preserve"> </w:t>
            </w:r>
            <w:r>
              <w:t xml:space="preserve">in § 26 for the full archive/restore lifecycle.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Xbbbd11a8f521f33d66dced27f837c1e44668832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well's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 "Delete tie-on" 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today's design change</w:t>
      </w:r>
      <w:r>
        <w:t xml:space="preserve"> </w:t>
      </w:r>
      <w:r>
        <w:t xml:space="preserve">(delete = reset-to-zero).</w:t>
      </w:r>
    </w:p>
    <w:bookmarkEnd w:id="70"/>
    <w:bookmarkStart w:id="71" w:name="list-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 "Advanced Tie-On"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well's Surveys grid → computed columns reflect the new tie-on (e.g. 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well's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well's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Xab807f67685c91b1b608077f3fb2debfe69e167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 "Clear magnetic interference" button resets the</w:t>
      </w:r>
      <w:r>
        <w:t xml:space="preserve"> </w:t>
      </w:r>
      <w:r>
        <w:t xml:space="preserve">well's magnetic reference back to "not set".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 "Set magnetic reference" / "Edit magnetic</w:t>
      </w:r>
      <w:r>
        <w:t xml:space="preserve"> </w:t>
      </w:r>
      <w:r>
        <w:t xml:space="preserve">reference"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 "not set" 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 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 "Click again to confirm".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 "No magnetic reference recorded yet".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Xb79696bd53072b39c3971341b7714742f10d6c9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most depth-tested area because it's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station's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 tie-on at vertical</w:t>
      </w:r>
    </w:p>
    <w:p>
      <w:pPr>
        <w:pStyle w:val="Compact"/>
        <w:numPr>
          <w:ilvl w:val="0"/>
          <w:numId w:val="1016"/>
        </w:numPr>
      </w:pPr>
      <w:r>
        <w:t xml:space="preserve">first survey at vertical). That's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You'll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Job's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row's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row's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well's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-delete"/>
    <w:p>
      <w:pPr>
        <w:pStyle w:val="Heading2"/>
      </w:pPr>
      <w:r>
        <w:t xml:space="preserve">Edit + delete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tie-on's depth or another survey's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 "depth already exists on this well" 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a409e0a0335c127f0bd1adf7cd4da22b27813ac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you've cleared.</w:t>
      </w:r>
    </w:p>
    <w:p>
      <w:pPr>
        <w:pStyle w:val="BodyText"/>
      </w:pPr>
      <w:r>
        <w:t xml:space="preserve">A few format notes for context: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 The prompt body reads</w:t>
            </w:r>
            <w:r>
              <w:t xml:space="preserve"> </w:t>
            </w:r>
            <w:r>
              <w:rPr>
                <w:rStyle w:val="VerbatimChar"/>
              </w:rPr>
              <w:t xml:space="preserve">existing: depth … inc … az … N … E … VR …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imported: depth … inc … az … N … E … VR …</w:t>
            </w:r>
            <w:r>
              <w:t xml:space="preserve"> </w:t>
            </w:r>
            <w:r>
              <w:t xml:space="preserve">— both lines must populate with the actual values (not "(not provided)" / "(could not parse …)"). Length values render in the Job's display unit (ft on PERMIAN, m on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 "Keep existing" 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-calculate"/>
    <w:p>
      <w:pPr>
        <w:pStyle w:val="Heading2"/>
      </w:pPr>
      <w:r>
        <w:t xml:space="preserve">Clear + Calculate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98" w:name="X2b6817cc668c3b9b1c28d5b6cbefe9e1b44d67c"/>
    <w:p>
      <w:pPr>
        <w:pStyle w:val="Heading1"/>
      </w:pPr>
      <w:r>
        <w:t xml:space="preserve">19. Unit cascade — display + round-trip across every input</w:t>
      </w:r>
    </w:p>
    <w:bookmarkStart w:id="86" w:name="what-youre-testing-1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numeric value in Enki has a</w:t>
      </w:r>
      <w:r>
        <w:t xml:space="preserve"> </w:t>
      </w:r>
      <w:r>
        <w:rPr>
          <w:b/>
          <w:bCs/>
        </w:rPr>
        <w:t xml:space="preserve">canonical SI form</w:t>
      </w:r>
      <w:r>
        <w:t xml:space="preserve"> </w:t>
      </w:r>
      <w:r>
        <w:t xml:space="preserve">stored in the</w:t>
      </w:r>
      <w:r>
        <w:t xml:space="preserve"> </w:t>
      </w:r>
      <w:r>
        <w:t xml:space="preserve">database, and a</w:t>
      </w:r>
      <w:r>
        <w:t xml:space="preserve"> </w:t>
      </w:r>
      <w:r>
        <w:rPr>
          <w:b/>
          <w:bCs/>
        </w:rPr>
        <w:t xml:space="preserve">display form</w:t>
      </w:r>
      <w:r>
        <w:t xml:space="preserve"> </w:t>
      </w:r>
      <w:r>
        <w:t xml:space="preserve">that the UI converts to before</w:t>
      </w:r>
      <w:r>
        <w:t xml:space="preserve"> </w:t>
      </w:r>
      <w:r>
        <w:t xml:space="preserve">showing the user. Length is the obvious example: 1500 metres in the</w:t>
      </w:r>
      <w:r>
        <w:t xml:space="preserve"> </w:t>
      </w:r>
      <w:r>
        <w:t xml:space="preserve">DB might appear as</w:t>
      </w:r>
      <w:r>
        <w:t xml:space="preserve"> </w:t>
      </w:r>
      <w:r>
        <w:rPr>
          <w:rStyle w:val="VerbatimChar"/>
        </w:rPr>
        <w:t xml:space="preserve">1500 m</w:t>
      </w:r>
      <w:r>
        <w:t xml:space="preserve"> </w:t>
      </w:r>
      <w:r>
        <w:t xml:space="preserve">on a Metric job or</w:t>
      </w:r>
      <w:r>
        <w:t xml:space="preserve"> </w:t>
      </w:r>
      <w:r>
        <w:rPr>
          <w:rStyle w:val="VerbatimChar"/>
        </w:rPr>
        <w:t xml:space="preserve">4921.26 ft</w:t>
      </w:r>
      <w:r>
        <w:t xml:space="preserve"> </w:t>
      </w:r>
      <w:r>
        <w:t xml:space="preserve">on a</w:t>
      </w:r>
      <w:r>
        <w:t xml:space="preserve"> </w:t>
      </w:r>
      <w:r>
        <w:t xml:space="preserve">Field job. The conversion fires both ways — when reading (SI → display)</w:t>
      </w:r>
      <w:r>
        <w:t xml:space="preserve"> </w:t>
      </w:r>
      <w:r>
        <w:t xml:space="preserve">and when typing (display → SI on save).</w:t>
      </w:r>
    </w:p>
    <w:p>
      <w:pPr>
        <w:pStyle w:val="BodyText"/>
      </w:pPr>
      <w:r>
        <w:t xml:space="preserve">A bug in this layer is</w:t>
      </w:r>
      <w:r>
        <w:t xml:space="preserve"> </w:t>
      </w:r>
      <w:r>
        <w:rPr>
          <w:b/>
          <w:bCs/>
        </w:rPr>
        <w:t xml:space="preserve">silent</w:t>
      </w:r>
      <w:r>
        <w:t xml:space="preserve">: the form looks like it works, the</w:t>
      </w:r>
      <w:r>
        <w:t xml:space="preserve"> </w:t>
      </w:r>
      <w:r>
        <w:t xml:space="preserve">chart draws something, the value doesn't crash anything — it's just</w:t>
      </w:r>
      <w:r>
        <w:t xml:space="preserve"> </w:t>
      </w:r>
      <w:r>
        <w:t xml:space="preserve">quietly the wrong number. Today's "type 100 m, save 0" bug was a</w:t>
      </w:r>
      <w:r>
        <w:t xml:space="preserve"> </w:t>
      </w:r>
      <w:r>
        <w:t xml:space="preserve">units-related binding failure that survived the existing check</w:t>
      </w:r>
      <w:r>
        <w:t xml:space="preserve"> </w:t>
      </w:r>
      <w:r>
        <w:t xml:space="preserve">because the old SUR-05 only verified the column header units, not</w:t>
      </w:r>
      <w:r>
        <w:t xml:space="preserve"> </w:t>
      </w:r>
      <w:r>
        <w:t xml:space="preserve">the actual numbers round-tripping through a save.</w:t>
      </w:r>
    </w:p>
    <w:p>
      <w:pPr>
        <w:pStyle w:val="BodyText"/>
      </w:pPr>
      <w:r>
        <w:t xml:space="preserve">This section systematically verifies: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right unit is shown</w:t>
      </w:r>
      <w:r>
        <w:t xml:space="preserve"> </w:t>
      </w:r>
      <w:r>
        <w:t xml:space="preserve">for every quantity per system</w:t>
      </w:r>
      <w:r>
        <w:t xml:space="preserve"> </w:t>
      </w:r>
      <w:r>
        <w:t xml:space="preserve">(reference card below).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cascade source</w:t>
      </w:r>
      <w:r>
        <w:t xml:space="preserve"> </w:t>
      </w:r>
      <w:r>
        <w:t xml:space="preserve">is correct — a Job-scoped page reads from</w:t>
      </w:r>
      <w:r>
        <w:t xml:space="preserve"> </w:t>
      </w:r>
      <w:r>
        <w:t xml:space="preserve">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; a non-Job-scoped page reads from your</w:t>
      </w:r>
      <w:r>
        <w:t xml:space="preserve"> </w:t>
      </w:r>
      <w:r>
        <w:t xml:space="preserve">user preference.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Round-trip integrity</w:t>
      </w:r>
      <w:r>
        <w:t xml:space="preserve"> </w:t>
      </w:r>
      <w:r>
        <w:t xml:space="preserve">— type X in display units, save, reload</w:t>
      </w:r>
      <w:r>
        <w:t xml:space="preserve"> </w:t>
      </w:r>
      <w:r>
        <w:t xml:space="preserve">the same form, see X back. Done on both Field and Metric so a</w:t>
      </w:r>
      <w:r>
        <w:t xml:space="preserve"> </w:t>
      </w:r>
      <w:r>
        <w:t xml:space="preserve">one-way conversion bug is caught regardless of direction.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Override units</w:t>
      </w:r>
      <w:r>
        <w:t xml:space="preserve"> </w:t>
      </w:r>
      <w:r>
        <w:t xml:space="preserve">— Tubular Diameter is in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on Field and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on Metric, regardless of the cascade.</w:t>
      </w:r>
    </w:p>
    <w:bookmarkEnd w:id="86"/>
    <w:bookmarkStart w:id="87" w:name="reference-card--what-unit-appears-where"/>
    <w:p>
      <w:pPr>
        <w:pStyle w:val="Heading2"/>
      </w:pPr>
      <w:r>
        <w:t xml:space="preserve">Reference card — what unit appears where</w:t>
      </w:r>
    </w:p>
    <w:p>
      <w:pPr>
        <w:pStyle w:val="FirstParagraph"/>
      </w:pPr>
      <w:r>
        <w:t xml:space="preserve">The authoritative source is</w:t>
      </w:r>
      <w:r>
        <w:t xml:space="preserve"> </w:t>
      </w:r>
      <w:r>
        <w:rPr>
          <w:rStyle w:val="VerbatimChar"/>
        </w:rPr>
        <w:t xml:space="preserve">SDI.Enki.Core.Units.UnitSystemPresets</w:t>
      </w:r>
      <w:r>
        <w:t xml:space="preserve">.</w:t>
      </w:r>
      <w:r>
        <w:t xml:space="preserve"> </w:t>
      </w:r>
      <w:r>
        <w:t xml:space="preserve">Cross-check anything Gavin sees against the row below. (SI is</w:t>
      </w:r>
      <w:r>
        <w:t xml:space="preserve"> </w:t>
      </w:r>
      <w:r>
        <w:t xml:space="preserve">included for completeness — no Job runs on SI in this build, so it's</w:t>
      </w:r>
      <w:r>
        <w:t xml:space="preserve"> </w:t>
      </w:r>
      <w:r>
        <w:t xml:space="preserve">visible only when User-preference falls back from a non-Job page.)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 + form: Depth, TVD, Sub-sea, North, East, V-sect, Northing, Easting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Inc, Az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Depth, North, East, Northing, Easting, Vertical reference, Sub-sea reference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Inc, Az, Vertical-section direction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From-MD, To-MD</w:t>
            </w:r>
          </w:p>
        </w:tc>
        <w:tc>
          <w:tcPr/>
          <w:p>
            <w:pPr>
              <w:pStyle w:val="Compact"/>
            </w:pPr>
            <w:r>
              <w:t xml:space="preserve">Length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</w:t>
            </w:r>
            <w:r>
              <w:t xml:space="preserve"> </w:t>
            </w: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  <w:r>
              <w:t xml:space="preserve"> </w:t>
            </w:r>
            <w:r>
              <w:rPr>
                <w:b/>
                <w:bCs/>
              </w:rPr>
              <w:t xml:space="preserve">(override)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Weight</w:t>
            </w:r>
          </w:p>
        </w:tc>
        <w:tc>
          <w:tcPr/>
          <w:p>
            <w:pPr>
              <w:pStyle w:val="Compact"/>
            </w:pPr>
            <w:r>
              <w:t xml:space="preserve">LinearMassDensity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form: From-TVD, To-TVD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Common-measure form: From-vertical, To-vertical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Declination, Dip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Total field</w:t>
            </w:r>
          </w:p>
        </w:tc>
        <w:tc>
          <w:tcPr/>
          <w:p>
            <w:pPr>
              <w:pStyle w:val="Compact"/>
            </w:pPr>
            <w:r>
              <w:t xml:space="preserve">MagneticFluxDensity (display-only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DLS, Build, Turn</w:t>
            </w:r>
          </w:p>
        </w:tc>
        <w:tc>
          <w:tcPr/>
          <w:p>
            <w:pPr>
              <w:pStyle w:val="Compact"/>
            </w:pPr>
            <w:r>
              <w:t xml:space="preserve">CurvatureRate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°/100ft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view + V-section axes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</w:tbl>
    <w:p>
      <w:pPr>
        <w:pStyle w:val="BlockText"/>
      </w:pPr>
      <w:r>
        <w:rPr>
          <w:b/>
          <w:bCs/>
        </w:rPr>
        <w:t xml:space="preserve">Two oddities worth knowing: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Angles are always degrees.</w:t>
      </w:r>
      <w:r>
        <w:t xml:space="preserve"> </w:t>
      </w:r>
      <w:r>
        <w:t xml:space="preserve">The DB stores degrees, the UI</w:t>
      </w:r>
      <w:r>
        <w:t xml:space="preserve"> </w:t>
      </w:r>
      <w:r>
        <w:t xml:space="preserve">shows degrees, regardless of the system. The "SI = radians"</w:t>
      </w:r>
      <w:r>
        <w:t xml:space="preserve"> </w:t>
      </w:r>
      <w:r>
        <w:t xml:space="preserve">row in the codebase preset table is a placeholder; the</w:t>
      </w:r>
      <w:r>
        <w:t xml:space="preserve"> </w:t>
      </w:r>
      <w:r>
        <w:rPr>
          <w:rStyle w:val="VerbatimChar"/>
        </w:rPr>
        <w:t xml:space="preserve">UnitInput</w:t>
      </w:r>
      <w:r>
        <w:t xml:space="preserve"> </w:t>
      </w:r>
      <w:r>
        <w:t xml:space="preserve">component explicitly bypasses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Total magnetic field is always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nT</w:t>
      </w:r>
      <w:r>
        <w:rPr>
          <w:b/>
          <w:bCs/>
        </w:rPr>
        <w:t xml:space="preserve">.</w:t>
      </w:r>
      <w:r>
        <w:t xml:space="preserve"> </w:t>
      </w:r>
      <w:r>
        <w:t xml:space="preserve">The well-detail magnetic</w:t>
      </w:r>
      <w:r>
        <w:t xml:space="preserve"> </w:t>
      </w:r>
      <w:r>
        <w:t xml:space="preserve">block hard-codes the label to</w:t>
      </w:r>
      <w:r>
        <w:t xml:space="preserve"> </w:t>
      </w:r>
      <w:r>
        <w:rPr>
          <w:rStyle w:val="VerbatimChar"/>
        </w:rPr>
        <w:t xml:space="preserve">nT</w:t>
      </w:r>
      <w:r>
        <w:t xml:space="preserve"> </w:t>
      </w:r>
      <w:r>
        <w:t xml:space="preserve">(the legacy convention) even</w:t>
      </w:r>
      <w:r>
        <w:t xml:space="preserve"> </w:t>
      </w:r>
      <w:r>
        <w:t xml:space="preserve">on Metric. It does not cascade.</w:t>
      </w:r>
    </w:p>
    <w:bookmarkEnd w:id="87"/>
    <w:bookmarkStart w:id="88" w:name="X3f5550fc7c1389e608e83b065849a33041f7305"/>
    <w:p>
      <w:pPr>
        <w:pStyle w:val="Heading2"/>
      </w:pPr>
      <w:r>
        <w:t xml:space="preserve">Cascade source — where the unit choice comes from</w:t>
      </w:r>
    </w:p>
    <w:p>
      <w:pPr>
        <w:pStyle w:val="FirstParagraph"/>
      </w:pPr>
      <w:r>
        <w:t xml:space="preserve">Pages fall into two buckets: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Job-scoped pages</w:t>
      </w:r>
      <w:r>
        <w:t xml:space="preserve"> </w:t>
      </w:r>
      <w:r>
        <w:t xml:space="preserve">— anything reached via</w:t>
      </w:r>
      <w:r>
        <w:t xml:space="preserve"> </w:t>
      </w:r>
      <w:r>
        <w:rPr>
          <w:rStyle w:val="VerbatimChar"/>
        </w:rPr>
        <w:t xml:space="preserve">/tenants/{code}/jobs/{guid}/...</w:t>
      </w:r>
      <w:r>
        <w:t xml:space="preserve">. The unit cascade is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 PERMIAN Jobs read Field; NORTHSEA and</w:t>
      </w:r>
      <w:r>
        <w:t xml:space="preserve"> </w:t>
      </w:r>
      <w:r>
        <w:t xml:space="preserve">BOREAL Jobs read Metric. Changing your</w:t>
      </w:r>
      <w:r>
        <w:t xml:space="preserve"> </w:t>
      </w:r>
      <w:r>
        <w:rPr>
          <w:b/>
          <w:bCs/>
        </w:rPr>
        <w:t xml:space="preserve">user preference</w:t>
      </w:r>
      <w:r>
        <w:t xml:space="preserve"> </w:t>
      </w:r>
      <w:r>
        <w:t xml:space="preserve">on</w:t>
      </w:r>
      <w:r>
        <w:t xml:space="preserve"> </w:t>
      </w:r>
      <w:r>
        <w:t xml:space="preserve">Account Settings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these pages.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User-preference pages</w:t>
      </w:r>
      <w:r>
        <w:t xml:space="preserve"> </w:t>
      </w:r>
      <w:r>
        <w:t xml:space="preserve">— anything not under a Job (e.g. cross-</w:t>
      </w:r>
      <w:r>
        <w:t xml:space="preserve"> </w:t>
      </w:r>
      <w:r>
        <w:t xml:space="preserve">tenant admin views, top-level Tenants list). The cascade falls</w:t>
      </w:r>
      <w:r>
        <w:t xml:space="preserve"> </w:t>
      </w:r>
      <w:r>
        <w:t xml:space="preserve">back to the user's preferred unit system. Today these are mostly</w:t>
      </w:r>
      <w:r>
        <w:t xml:space="preserve"> </w:t>
      </w:r>
      <w:r>
        <w:t xml:space="preserve">read-only summary views; few entry forms live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UNIT-10</w:t>
            </w:r>
          </w:p>
        </w:tc>
        <w:tc>
          <w:tcPr/>
          <w:p>
            <w:pPr>
              <w:pStyle w:val="Compact"/>
            </w:pPr>
            <w:r>
              <w:t xml:space="preserve">Browse PERMIAN's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 any Surveys grid: depth column header reads</w:t>
            </w:r>
            <w:r>
              <w:t xml:space="preserve"> </w:t>
            </w:r>
            <w:r>
              <w:rPr>
                <w:rStyle w:val="VerbatimChar"/>
              </w:rPr>
              <w:t xml:space="preserve">Depth (ft)</w:t>
            </w:r>
            <w:r>
              <w:t xml:space="preserve">; values displayed in feet (e.g. ~5000–10000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UNIT-11</w:t>
            </w:r>
          </w:p>
        </w:tc>
        <w:tc>
          <w:tcPr/>
          <w:p>
            <w:pPr>
              <w:pStyle w:val="Compact"/>
            </w:pPr>
            <w:r>
              <w:t xml:space="preserve">Browse NORTHSEA's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→ Surveys grid: depth column reads</w:t>
            </w:r>
            <w:r>
              <w:t xml:space="preserve"> </w:t>
            </w:r>
            <w:r>
              <w:rPr>
                <w:rStyle w:val="VerbatimChar"/>
              </w:rPr>
              <w:t xml:space="preserve">Depth (m)</w:t>
            </w:r>
            <w:r>
              <w:t xml:space="preserve">; values in metres (e.g. ~1500–3000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UNIT-12</w:t>
            </w:r>
          </w:p>
        </w:tc>
        <w:tc>
          <w:tcPr/>
          <w:p>
            <w:pPr>
              <w:pStyle w:val="Compact"/>
            </w:pPr>
            <w:r>
              <w:t xml:space="preserve">Open Account Settings → flip preference Field ↔ Metric → save. Re-open the</w:t>
            </w:r>
            <w:r>
              <w:t xml:space="preserve"> </w:t>
            </w:r>
            <w:r>
              <w:rPr>
                <w:b/>
                <w:bCs/>
              </w:rPr>
              <w:t xml:space="preserve">same PERMIAN Surveys grid</w:t>
            </w:r>
            <w:r>
              <w:t xml:space="preserve"> </w:t>
            </w:r>
            <w:r>
              <w:t xml:space="preserve">— the column units</w:t>
            </w:r>
            <w:r>
              <w:t xml:space="preserve"> </w:t>
            </w:r>
            <w:r>
              <w:rPr>
                <w:b/>
                <w:bCs/>
              </w:rPr>
              <w:t xml:space="preserve">don't</w:t>
            </w:r>
            <w:r>
              <w:t xml:space="preserve"> </w:t>
            </w:r>
            <w:r>
              <w:t xml:space="preserve">change (still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, because Job is 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UNIT-13</w:t>
            </w:r>
          </w:p>
        </w:tc>
        <w:tc>
          <w:tcPr/>
          <w:p>
            <w:pPr>
              <w:pStyle w:val="Compact"/>
            </w:pPr>
            <w:r>
              <w:t xml:space="preserve">If a non-Job-scoped numeric view is open (e.g. a Tenants summary card showing a length), the user-preference flip</w:t>
            </w:r>
            <w:r>
              <w:t xml:space="preserve"> </w:t>
            </w:r>
            <w:r>
              <w:rPr>
                <w:b/>
                <w:bCs/>
              </w:rPr>
              <w:t xml:space="preserve">does</w:t>
            </w:r>
            <w:r>
              <w:t xml:space="preserve"> </w:t>
            </w:r>
            <w:r>
              <w:t xml:space="preserve">reflect there.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UNIT-14</w:t>
            </w:r>
          </w:p>
        </w:tc>
        <w:tc>
          <w:tcPr/>
          <w:p>
            <w:pPr>
              <w:pStyle w:val="Compact"/>
            </w:pPr>
            <w:r>
              <w:t xml:space="preserve">Edit the Job's</w:t>
            </w:r>
            <w:r>
              <w:t xml:space="preserve"> </w:t>
            </w:r>
            <w:r>
              <w:rPr>
                <w:rStyle w:val="VerbatimChar"/>
              </w:rPr>
              <w:t xml:space="preserve">UnitSystem</w:t>
            </w:r>
            <w:r>
              <w:t xml:space="preserve"> </w:t>
            </w:r>
            <w:r>
              <w:t xml:space="preserve">(PUT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</w:t>
            </w:r>
            <w:r>
              <w:t xml:space="preserve"> </w:t>
            </w:r>
            <w:r>
              <w:t xml:space="preserve">via JobEdit) from Field → Metric → reload Surveys: column header now reads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; numeric values are the metric conversion of the same underlying SI rows. (Revert before continuing.)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Start w:id="95" w:name="round-trip-per-unit-bearing-page"/>
    <w:p>
      <w:pPr>
        <w:pStyle w:val="Heading2"/>
      </w:pPr>
      <w:r>
        <w:t xml:space="preserve">Round-trip per unit-bearing page</w:t>
      </w:r>
    </w:p>
    <w:p>
      <w:pPr>
        <w:pStyle w:val="FirstParagraph"/>
      </w:pPr>
      <w:r>
        <w:t xml:space="preserve">Method, applied to every form below: type a value in the visible</w:t>
      </w:r>
      <w:r>
        <w:t xml:space="preserve"> </w:t>
      </w:r>
      <w:r>
        <w:t xml:space="preserve">display unit; click Save; reload (or navigate away and back) the</w:t>
      </w:r>
      <w:r>
        <w:t xml:space="preserve"> </w:t>
      </w:r>
      <w:r>
        <w:rPr>
          <w:b/>
          <w:bCs/>
        </w:rPr>
        <w:t xml:space="preserve">same edit page</w:t>
      </w:r>
      <w:r>
        <w:t xml:space="preserve">; confirm the same number is shown. A round-trip</w:t>
      </w:r>
      <w:r>
        <w:t xml:space="preserve"> </w:t>
      </w:r>
      <w:r>
        <w:t xml:space="preserve">that comes back changed = unit conversion bug (probably one-way).</w:t>
      </w:r>
    </w:p>
    <w:p>
      <w:pPr>
        <w:pStyle w:val="BodyText"/>
      </w:pPr>
      <w:r>
        <w:t xml:space="preserve">Pick the well to match the system you're testing: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Field round-trips:</w:t>
      </w:r>
      <w:r>
        <w:t xml:space="preserve"> </w:t>
      </w:r>
      <w:r>
        <w:t xml:space="preserve">PERMIAN well (any of the 8 on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Metric round-trips:</w:t>
      </w:r>
      <w:r>
        <w:t xml:space="preserve"> </w:t>
      </w:r>
      <w:r>
        <w:t xml:space="preserve">NORTHSEA or BOREAL well.</w:t>
      </w:r>
    </w:p>
    <w:p>
      <w:pPr>
        <w:pStyle w:val="FirstParagraph"/>
      </w:pPr>
      <w:r>
        <w:t xml:space="preserve">Numbers below are illustrative; what matters is</w:t>
      </w:r>
      <w:r>
        <w:t xml:space="preserve"> </w:t>
      </w:r>
      <w:r>
        <w:rPr>
          <w:b/>
          <w:bCs/>
        </w:rPr>
        <w:t xml:space="preserve">what you typed</w:t>
      </w:r>
      <w:r>
        <w:rPr>
          <w:b/>
          <w:bCs/>
        </w:rPr>
        <w:t xml:space="preserve"> </w:t>
      </w:r>
      <w:r>
        <w:rPr>
          <w:b/>
          <w:bCs/>
        </w:rPr>
        <w:t xml:space="preserve">matches what shows on reload</w:t>
      </w:r>
      <w:r>
        <w:t xml:space="preserve">.</w:t>
      </w:r>
    </w:p>
    <w:bookmarkStart w:id="89" w:name="surveys"/>
    <w:p>
      <w:pPr>
        <w:pStyle w:val="Heading3"/>
      </w:pPr>
      <w:r>
        <w:t xml:space="preserve">Surveys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survey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1500 m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survey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5000 ft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180°</w:t>
            </w:r>
            <w:r>
              <w:t xml:space="preserve">. (Choose a depth value not already on the well.)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After UNIT-21 saves, view the same survey on the grid. Depth column shows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in ft. Then change the Job's UnitSystem to Metric (JobEdit, save) and reload — the same row should now show</w:t>
            </w:r>
            <w:r>
              <w:t xml:space="preserve"> </w:t>
            </w:r>
            <w:r>
              <w:rPr>
                <w:rStyle w:val="VerbatimChar"/>
              </w:rPr>
              <w:t xml:space="preserve">1524.0</w:t>
            </w:r>
            <w:r>
              <w:t xml:space="preserve"> </w:t>
            </w:r>
            <w:r>
              <w:t xml:space="preserve">(5000 ft → metres). Revert the Job's UnitSystem to Field.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9"/>
    <w:bookmarkStart w:id="90" w:name="tieons"/>
    <w:p>
      <w:pPr>
        <w:pStyle w:val="Heading3"/>
      </w:pPr>
      <w:r>
        <w:t xml:space="preserve">TieOns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UNIT-23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TieOn edit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175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6043000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376000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Save. Reload. → all six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TieOn edit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1500000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600000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2200</w:t>
            </w:r>
            <w:r>
              <w:t xml:space="preserve">. Save. Reload. → all four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0"/>
    <w:bookmarkStart w:id="91" w:name="tubulars-with-diameter-override"/>
    <w:p>
      <w:pPr>
        <w:pStyle w:val="Heading3"/>
      </w:pPr>
      <w:r>
        <w:t xml:space="preserve">Tubulars (with Diameter override)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UNIT-25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Tubular on a PERMIAN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9.625</w:t>
            </w:r>
            <w:r>
              <w:t xml:space="preserve"> </w:t>
            </w:r>
            <w:r>
              <w:t xml:space="preserve">(a standard 9 5/8" casing OD).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9.625 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UNIT-26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Tubular on a BOREAL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244.5</w:t>
            </w:r>
            <w:r>
              <w:t xml:space="preserve"> </w:t>
            </w:r>
            <w:r>
              <w:t xml:space="preserve">(the same casing in mm).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244.5 mm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UNIT-27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lb/ft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(standard 9 5/8" 47 lb/ft casing).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47 lb/ft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UNIT-28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kg/m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(~47 lb/ft).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70 kg/m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UNIT-29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From-MD / To-MD inputs on the same form have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(length default, not the diameter override). Type From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. Save. Reload. → both come back identical in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Start w:id="92" w:name="formations"/>
    <w:p>
      <w:pPr>
        <w:pStyle w:val="Heading3"/>
      </w:pPr>
      <w:r>
        <w:t xml:space="preserve">Formations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Formation on a BOREAL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500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Formation on a PERMIAN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2"/>
    <w:bookmarkStart w:id="93" w:name="common-measures"/>
    <w:p>
      <w:pPr>
        <w:pStyle w:val="Heading3"/>
      </w:pPr>
      <w:r>
        <w:t xml:space="preserve">Common measures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UNIT-32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Common Measure on a BOREAL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Common Measure on a PERMIAN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3"/>
    <w:bookmarkStart w:id="94" w:name="magnetics-the-partial-cascade-case"/>
    <w:p>
      <w:pPr>
        <w:pStyle w:val="Heading3"/>
      </w:pPr>
      <w:r>
        <w:t xml:space="preserve">Magnetics (the partial-cascade case)</w:t>
      </w:r>
    </w:p>
    <w:p>
      <w:pPr>
        <w:pStyle w:val="FirstParagraph"/>
      </w:pPr>
      <w:r>
        <w:t xml:space="preserve">Magnetic Declination and Dip cascade; Total Field is always</w:t>
      </w:r>
      <w:r>
        <w:t xml:space="preserve"> </w:t>
      </w:r>
      <w:r>
        <w:rPr>
          <w:rStyle w:val="VerbatimChar"/>
        </w:rPr>
        <w:t xml:space="preserve">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Magnetics edit on a PERMIAN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5.0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63.0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50300</w:t>
            </w:r>
            <w:r>
              <w:t xml:space="preserve">. Save. Reload. → all three come back identical, with</w:t>
            </w:r>
            <w:r>
              <w:t xml:space="preserve"> </w:t>
            </w:r>
            <w:r>
              <w:rPr>
                <w:rStyle w:val="VerbatimChar"/>
              </w:rPr>
              <w:t xml:space="preserve">°</w:t>
            </w:r>
            <w:r>
              <w:t xml:space="preserve"> </w:t>
            </w:r>
            <w:r>
              <w:t xml:space="preserve">on Decl/Dip and</w:t>
            </w:r>
            <w:r>
              <w:t xml:space="preserve"> </w:t>
            </w:r>
            <w:r>
              <w:rPr>
                <w:rStyle w:val="VerbatimChar"/>
              </w:rPr>
              <w:t xml:space="preserve">nT</w:t>
            </w:r>
            <w:r>
              <w:t xml:space="preserve"> </w:t>
            </w:r>
            <w:r>
              <w:t xml:space="preserve">on Total.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UNIT-35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Magnetics edit on a NORTHSEA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73.0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50500</w:t>
            </w:r>
            <w:r>
              <w:t xml:space="preserve">. Save. Reload. → all three come back identical,</w:t>
            </w:r>
            <w:r>
              <w:t xml:space="preserve"> </w:t>
            </w:r>
            <w:r>
              <w:rPr>
                <w:b/>
                <w:bCs/>
              </w:rPr>
              <w:t xml:space="preserve">Total 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nT</w:t>
            </w:r>
            <w:r>
              <w:t xml:space="preserve"> </w:t>
            </w:r>
            <w:r>
              <w:t xml:space="preserve">(not converted to Tesla on Metric).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96" w:name="read-only-display-columns"/>
    <w:p>
      <w:pPr>
        <w:pStyle w:val="Heading2"/>
      </w:pPr>
      <w:r>
        <w:t xml:space="preserve">Read-only display columns</w:t>
      </w:r>
    </w:p>
    <w:p>
      <w:pPr>
        <w:pStyle w:val="FirstParagraph"/>
      </w:pPr>
      <w:r>
        <w:t xml:space="preserve">The Surveys grid populates several columns from the auto-calc that</w:t>
      </w:r>
      <w:r>
        <w:t xml:space="preserve"> </w:t>
      </w:r>
      <w:r>
        <w:t xml:space="preserve">the user can't directly edit. These should still respect the cascade.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UNIT-40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Surveys grid on PERMIAN: column headers read</w:t>
            </w:r>
            <w:r>
              <w:t xml:space="preserve"> </w:t>
            </w:r>
            <w:r>
              <w:rPr>
                <w:rStyle w:val="VerbatimChar"/>
              </w:rPr>
              <w:t xml:space="preserve">TVD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Sub-sea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V-sect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 (°/100ft)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UNIT-41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Surveys grid on NORTHSEA / BOREAL: same columns read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 </w:t>
            </w:r>
            <w:r>
              <w:t xml:space="preserve">for length and</w:t>
            </w:r>
            <w:r>
              <w:t xml:space="preserve"> </w:t>
            </w:r>
            <w:r>
              <w:rPr>
                <w:rStyle w:val="VerbatimChar"/>
              </w:rPr>
              <w:t xml:space="preserve">(°/30m)</w:t>
            </w:r>
            <w:r>
              <w:t xml:space="preserve"> </w:t>
            </w:r>
            <w:r>
              <w:t xml:space="preserve">for the curvature-rate triplet.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DLS / Build / Turn values on PERMIAN are visibly different from the same data viewed on Metric — flip the Job's UnitSystem briefly to confirm the conversion fires (e.g. a 1.0°/30m DLS becomes ~0.305°/100ft). Revert before continuing.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6"/>
    <w:bookmarkStart w:id="97" w:name="what-round-trip-broken-looks-like"/>
    <w:p>
      <w:pPr>
        <w:pStyle w:val="Heading2"/>
      </w:pPr>
      <w:r>
        <w:t xml:space="preserve">What "round-trip broken" looks like</w:t>
      </w:r>
    </w:p>
    <w:p>
      <w:pPr>
        <w:pStyle w:val="FirstParagraph"/>
      </w:pPr>
      <w:r>
        <w:t xml:space="preserve">If a round-trip test fails, the failure mode tells you which side</w:t>
      </w:r>
      <w:r>
        <w:t xml:space="preserve"> </w:t>
      </w:r>
      <w:r>
        <w:t xml:space="preserve">of the conversion is broken: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0</w:t>
      </w:r>
      <w:r>
        <w:t xml:space="preserve"> </w:t>
      </w:r>
      <w:r>
        <w:t xml:space="preserve">when you typed a number → the form's</w:t>
      </w:r>
      <w:r>
        <w:t xml:space="preserve"> </w:t>
      </w:r>
      <w:r>
        <w:t xml:space="preserve">display→SI binding never fired (the bug from today's commit</w:t>
      </w:r>
      <w:r>
        <w:t xml:space="preserve"> </w:t>
      </w:r>
      <w:r>
        <w:rPr>
          <w:rStyle w:val="VerbatimChar"/>
        </w:rPr>
        <w:t xml:space="preserve">c79164b</w:t>
      </w:r>
      <w:r>
        <w:t xml:space="preserve"> </w:t>
      </w:r>
      <w:r>
        <w:t xml:space="preserve">— render-mode missing on the form).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the right magnitude in the wrong unit</w:t>
      </w:r>
      <w:r>
        <w:t xml:space="preserve"> </w:t>
      </w:r>
      <w:r>
        <w:t xml:space="preserve">(e.g.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5000 ft</w:t>
      </w:r>
      <w:r>
        <w:t xml:space="preserve">, reload, see</w:t>
      </w:r>
      <w:r>
        <w:t xml:space="preserve"> </w:t>
      </w:r>
      <w:r>
        <w:rPr>
          <w:rStyle w:val="VerbatimChar"/>
        </w:rPr>
        <w:t xml:space="preserve">5000 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1524 ft</w:t>
      </w:r>
      <w:r>
        <w:t xml:space="preserve">) → one of</w:t>
      </w:r>
      <w:r>
        <w:t xml:space="preserve"> </w:t>
      </w:r>
      <w:r>
        <w:rPr>
          <w:rStyle w:val="VerbatimChar"/>
        </w:rPr>
        <w:t xml:space="preserve">UnitConverter.ToSi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FromSi</w:t>
      </w:r>
      <w:r>
        <w:t xml:space="preserve"> </w:t>
      </w:r>
      <w:r>
        <w:t xml:space="preserve">is using the wrong unit enum.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a slight float-precision difference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5000.000003</w:t>
      </w:r>
      <w:r>
        <w:t xml:space="preserve">) → expected and harmless; double-precision round-</w:t>
      </w:r>
      <w:r>
        <w:t xml:space="preserve"> </w:t>
      </w:r>
      <w:r>
        <w:t xml:space="preserve">trips are not bit-exact.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Column suffix is wrong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Depth (m)</w:t>
      </w:r>
      <w:r>
        <w:t xml:space="preserve"> </w:t>
      </w:r>
      <w:r>
        <w:t xml:space="preserve">on a Field job) →</w:t>
      </w:r>
      <w:r>
        <w:t xml:space="preserve"> </w:t>
      </w:r>
      <w:r>
        <w:t xml:space="preserve">cascade source bug; the page isn't reading from 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Override didn't fire</w:t>
      </w:r>
      <w:r>
        <w:t xml:space="preserve"> </w:t>
      </w:r>
      <w:r>
        <w:t xml:space="preserve">(e.g. Tubular Diameter shows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on</w:t>
      </w:r>
      <w:r>
        <w:t xml:space="preserve"> </w:t>
      </w:r>
      <w:r>
        <w:t xml:space="preserve">Field instead of</w:t>
      </w:r>
      <w:r>
        <w:t xml:space="preserve"> </w:t>
      </w:r>
      <w:r>
        <w:rPr>
          <w:rStyle w:val="VerbatimChar"/>
        </w:rPr>
        <w:t xml:space="preserve">in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OverrideUnit</w:t>
      </w:r>
      <w:r>
        <w:t xml:space="preserve"> </w:t>
      </w:r>
      <w:r>
        <w:t xml:space="preserve">parameter not being</w:t>
      </w:r>
      <w:r>
        <w:t xml:space="preserve"> </w:t>
      </w:r>
      <w:r>
        <w:t xml:space="preserve">passed to the</w:t>
      </w:r>
      <w:r>
        <w:t xml:space="preserve"> </w:t>
      </w:r>
      <w:r>
        <w:rPr>
          <w:rStyle w:val="VerbatimChar"/>
        </w:rPr>
        <w:t xml:space="preserve">&lt;UnitInput&gt;</w:t>
      </w:r>
      <w:r>
        <w:t xml:space="preserve"> </w:t>
      </w:r>
      <w:r>
        <w:t xml:space="preserve">on that form.</w:t>
      </w:r>
    </w:p>
    <w:bookmarkEnd w:id="97"/>
    <w:bookmarkEnd w:id="98"/>
    <w:bookmarkStart w:id="102" w:name="X01ea2a04c1ec5deb1783c164444b4daa8cab5f4"/>
    <w:p>
      <w:pPr>
        <w:pStyle w:val="Heading1"/>
      </w:pPr>
      <w:r>
        <w:t xml:space="preserve">20. Tubulars</w:t>
      </w:r>
    </w:p>
    <w:bookmarkStart w:id="99" w:name="what-youre-testing-1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They're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99"/>
    <w:bookmarkStart w:id="100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0"/>
    <w:bookmarkStart w:id="101" w:name="add--edit-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1"/>
    <w:bookmarkEnd w:id="102"/>
    <w:bookmarkStart w:id="105" w:name="Xd1564863a803b10422787033e026f2d132e6f2b"/>
    <w:p>
      <w:pPr>
        <w:pStyle w:val="Heading1"/>
      </w:pPr>
      <w:r>
        <w:t xml:space="preserve">21. Formations</w:t>
      </w:r>
    </w:p>
    <w:bookmarkStart w:id="103" w:name="what-youre-testing-1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 "Wolfcamp"), an optional description, a from-TVD, a</w:t>
      </w:r>
      <w:r>
        <w:t xml:space="preserve"> </w:t>
      </w:r>
      <w:r>
        <w:t xml:space="preserve">to-TVD, and a "resistance" 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don't affect the trajectory calc.</w:t>
      </w:r>
    </w:p>
    <w:bookmarkEnd w:id="103"/>
    <w:bookmarkStart w:id="104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08" w:name="Xba54d661d240a2232fc5358477cf17213b55090"/>
    <w:p>
      <w:pPr>
        <w:pStyle w:val="Heading1"/>
      </w:pPr>
      <w:r>
        <w:t xml:space="preserve">22. Common measures</w:t>
      </w:r>
    </w:p>
    <w:bookmarkStart w:id="106" w:name="what-youre-testing-1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don't fit Tubulars or Formations.</w:t>
      </w:r>
    </w:p>
    <w:bookmarkEnd w:id="106"/>
    <w:bookmarkStart w:id="107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End w:id="108"/>
    <w:bookmarkStart w:id="113" w:name="X3db226124aefe9e417715c0b6adfd7235053e98"/>
    <w:p>
      <w:pPr>
        <w:pStyle w:val="Heading1"/>
      </w:pPr>
      <w:r>
        <w:t xml:space="preserve">23. Trajectory plot &amp; anti-collision</w:t>
      </w:r>
    </w:p>
    <w:bookmarkStart w:id="109" w:name="what-youre-testing-1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That's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27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109"/>
    <w:bookmarkStart w:id="110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there's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27 Visual baselines.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well's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16" w:name="Xb932d2de1e5b6f1847da361629bc7ed41a37cac"/>
    <w:p>
      <w:pPr>
        <w:pStyle w:val="Heading1"/>
      </w:pPr>
      <w:r>
        <w:t xml:space="preserve">24. Demo seed data — content audit</w:t>
      </w:r>
    </w:p>
    <w:bookmarkStart w:id="114" w:name="what-youre-testing-1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Quick spot-checks on what the seeders produce. These don't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14"/>
    <w:bookmarkStart w:id="115" w:name="tests-5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well's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 "…".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 "BP/OGA refs.".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5"/>
    <w:bookmarkEnd w:id="116"/>
    <w:bookmarkStart w:id="118" w:name="X73b84261588f0648fdfdbbd0d93250961426078"/>
    <w:p>
      <w:pPr>
        <w:pStyle w:val="Heading1"/>
      </w:pPr>
      <w:r>
        <w:t xml:space="preserve">25. Regression watch-list (today's bug fixes)</w:t>
      </w:r>
    </w:p>
    <w:bookmarkStart w:id="117" w:name="what-youre-testing-1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token refresh on long sessions</w:t>
            </w:r>
            <w:r>
              <w:t xml:space="preserve"> </w:t>
            </w:r>
            <w:r>
              <w:t xml:space="preserve">→ CircuitTokenCache rewrite</w:t>
            </w:r>
          </w:p>
        </w:tc>
        <w:tc>
          <w:tcPr/>
          <w:p>
            <w:pPr>
              <w:pStyle w:val="Compact"/>
            </w:pPr>
            <w:r>
              <w:t xml:space="preserve">AUTH-07, AUTH-08: a 1 h+ session keeps working without re-auth.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Reset-password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PostAsync&lt;TResp&gt;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ADU-15: temporary-password banner still appears with the value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Tenant-member role change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PatchAsync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TM-10: role change persists; no raw-HTTP error string leaks into the UI on a bad request.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 import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PostMultipartAsync&lt;TResp&gt;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ApiError.Extensions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SUR-30..36 (success path) + SUR-37 (409 conflict prompt — both summary lines populated from</w:t>
            </w:r>
            <w:r>
              <w:t xml:space="preserve"> </w:t>
            </w:r>
            <w:r>
              <w:rPr>
                <w:rStyle w:val="VerbatimChar"/>
              </w:rPr>
              <w:t xml:space="preserve">ApiError.Extensions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Survey / Tie-on / Tubular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</w:p>
        </w:tc>
        <w:tc>
          <w:tcPr/>
          <w:p>
            <w:pPr>
              <w:pStyle w:val="Compact"/>
            </w:pPr>
            <w:r>
              <w:t xml:space="preserve">CONC-01, CONC-03, CONC-06 (happy-path saves) + CONC-10..12 (two-tab conflicts) + CONC-30..31 (auto-recalc trade-off).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Formation / Common Measure / Magnetics / Well / Job / Tenant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3e53a49</w:t>
            </w:r>
          </w:p>
        </w:tc>
        <w:tc>
          <w:tcPr/>
          <w:p>
            <w:pPr>
              <w:pStyle w:val="Compact"/>
            </w:pPr>
            <w:r>
              <w:t xml:space="preserve">CONC-04..05 (happy paths) + CONC-13..18 (two-tab conflicts) + CONC-60..61 (Magnetics upsert / update branch split).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 wire-format input validation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ConcurrencyHelper.ApplyClientRowVersion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CONC-52 (malformed base64 → 400) + CONC-53 (blank token → 400).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history capture + tile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AUDH-01..03 (tile present), AUDH-10..13 (capture on edit/create + recalc ripple), AUDH-20..21 (tenant-wide feed).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soft-delete + restore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ARC-01..06 (delete-soft + archived list + restore + idempotency).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Health-check split (live / ready / aggregate)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HLT-01..04 (all three endpoints respond per design; anonymous; SQL outage flips ready to Unhealthy).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versioning baseline (v1.0 default)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VER-01..03 (default version when unspecified;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header; query-string reader works).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Surveys list paged wire shape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PAG-01..04 (UI unchanged; JSON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PagedResult&lt;T&gt;</w:t>
            </w:r>
            <w:r>
              <w:t xml:space="preserve">; skip/take honoured; ceiling clamps).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7"/>
    <w:bookmarkEnd w:id="118"/>
    <w:bookmarkStart w:id="155" w:name="X52b8bcf8c4ad550fb694d4202e0733b6bb1ee23"/>
    <w:p>
      <w:pPr>
        <w:pStyle w:val="Heading1"/>
      </w:pPr>
      <w:r>
        <w:t xml:space="preserve">26. Cross-cutting checks</w:t>
      </w:r>
    </w:p>
    <w:bookmarkStart w:id="119" w:name="what-youre-testing-1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19"/>
    <w:bookmarkStart w:id="120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isn't a member of</w:t>
      </w:r>
      <w:r>
        <w:t xml:space="preserve"> </w:t>
      </w:r>
      <w:r>
        <w:t xml:space="preserve">a tenant must not see that tenant's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PERMIAN's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0"/>
    <w:bookmarkStart w:id="121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 "Updated YYYY-MM-DD HH:MM by {username}" 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 "system" 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1"/>
    <w:bookmarkStart w:id="122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2"/>
    <w:bookmarkStart w:id="123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there's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won't toggle, no dropdowns that don't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 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3"/>
    <w:bookmarkStart w:id="124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shouldn't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4"/>
    <w:bookmarkStart w:id="136" w:name="optimistic-concurrency"/>
    <w:p>
      <w:pPr>
        <w:pStyle w:val="Heading2"/>
      </w:pPr>
      <w:r>
        <w:t xml:space="preserve">Optimistic concurrency</w:t>
      </w:r>
    </w:p>
    <w:bookmarkStart w:id="125" w:name="what-youre-testing-19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mutation endpoint (PUT / PATCH / lifecycle) now carries a</w:t>
      </w:r>
      <w:r>
        <w:t xml:space="preserve"> </w:t>
      </w:r>
      <w:r>
        <w:rPr>
          <w:b/>
          <w:bCs/>
        </w:rPr>
        <w:t xml:space="preserve">RowVersion</w:t>
      </w:r>
      <w:r>
        <w:t xml:space="preserve"> </w:t>
      </w:r>
      <w:r>
        <w:t xml:space="preserve">— a token the client sends back with every save that</w:t>
      </w:r>
      <w:r>
        <w:t xml:space="preserve"> </w:t>
      </w:r>
      <w:r>
        <w:t xml:space="preserve">proves "the record I'm about to change is the same one I loaded".</w:t>
      </w:r>
      <w:r>
        <w:t xml:space="preserve"> </w:t>
      </w:r>
      <w:r>
        <w:t xml:space="preserve">The server enforces this at the SQL UPDATE: if the row's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 has moved since the client read it, the</w:t>
      </w:r>
      <w:r>
        <w:t xml:space="preserve"> </w:t>
      </w:r>
      <w:r>
        <w:t xml:space="preserve">database matches zero rows, EF raises a concurrency exception, and</w:t>
      </w:r>
      <w:r>
        <w:t xml:space="preserve"> </w:t>
      </w:r>
      <w:r>
        <w:t xml:space="preserve">the API returns</w:t>
      </w:r>
      <w:r>
        <w:t xml:space="preserve"> </w:t>
      </w:r>
      <w:r>
        <w:rPr>
          <w:b/>
          <w:bCs/>
        </w:rPr>
        <w:t xml:space="preserve">409 Conflict</w:t>
      </w:r>
      <w:r>
        <w:t xml:space="preserve"> </w:t>
      </w:r>
      <w:r>
        <w:t xml:space="preserve">with a reload-and-retry message.</w:t>
      </w:r>
    </w:p>
    <w:p>
      <w:pPr>
        <w:pStyle w:val="BodyText"/>
      </w:pPr>
      <w:r>
        <w:t xml:space="preserve">In practice you'll see this when two users (or two browser tabs)</w:t>
      </w:r>
      <w:r>
        <w:t xml:space="preserve"> </w:t>
      </w:r>
      <w:r>
        <w:t xml:space="preserve">edit the same record at the same time. One save wins; the other</w:t>
      </w:r>
      <w:r>
        <w:t xml:space="preserve"> </w:t>
      </w:r>
      <w:r>
        <w:t xml:space="preserve">gets a red alert banner reading</w:t>
      </w:r>
    </w:p>
    <w:p>
      <w:pPr>
        <w:pStyle w:val="BlockText"/>
      </w:pPr>
      <w:r>
        <w:rPr>
          <w:b/>
          <w:bCs/>
        </w:rPr>
        <w:t xml:space="preserve">Conflict — The {entity} was modified by another user since you</w:t>
      </w:r>
      <w:r>
        <w:rPr>
          <w:b/>
          <w:bCs/>
        </w:rPr>
        <w:t xml:space="preserve"> </w:t>
      </w:r>
      <w:r>
        <w:rPr>
          <w:b/>
          <w:bCs/>
        </w:rPr>
        <w:t xml:space="preserve">loaded it. Reload to see the latest values, then re-apply your</w:t>
      </w:r>
      <w:r>
        <w:rPr>
          <w:b/>
          <w:bCs/>
        </w:rPr>
        <w:t xml:space="preserve"> </w:t>
      </w:r>
      <w:r>
        <w:rPr>
          <w:b/>
          <w:bCs/>
        </w:rPr>
        <w:t xml:space="preserve">edit.</w:t>
      </w:r>
    </w:p>
    <w:p>
      <w:pPr>
        <w:pStyle w:val="FirstParagraph"/>
      </w:pPr>
      <w:r>
        <w:t xml:space="preserve">The wire pattern is identical across nine entities (Survey, Tie-on,</w:t>
      </w:r>
      <w:r>
        <w:t xml:space="preserve"> </w:t>
      </w:r>
      <w:r>
        <w:t xml:space="preserve">Tubular, Formation, Common Measure, Magnetics, Well, Job, Tenant)</w:t>
      </w:r>
      <w:r>
        <w:t xml:space="preserve"> </w:t>
      </w:r>
      <w:r>
        <w:t xml:space="preserve">so the tests below exercise a representative slice rather than</w:t>
      </w:r>
      <w:r>
        <w:t xml:space="preserve"> </w:t>
      </w:r>
      <w:r>
        <w:t xml:space="preserve">every endpoint individually.</w:t>
      </w:r>
      <w:r>
        <w:t xml:space="preserve"> </w:t>
      </w:r>
      <w:r>
        <w:rPr>
          <w:b/>
          <w:bCs/>
        </w:rPr>
        <w:t xml:space="preserve">Tenant Members is intentionally out</w:t>
      </w:r>
      <w:r>
        <w:rPr>
          <w:b/>
          <w:bCs/>
        </w:rPr>
        <w:t xml:space="preserve"> </w:t>
      </w:r>
      <w:r>
        <w:rPr>
          <w:b/>
          <w:bCs/>
        </w:rPr>
        <w:t xml:space="preserve">of scope</w:t>
      </w:r>
      <w:r>
        <w:t xml:space="preserve"> </w:t>
      </w:r>
      <w:r>
        <w:t xml:space="preserve">— see CONC-70 below.</w:t>
      </w:r>
    </w:p>
    <w:p>
      <w:pPr>
        <w:pStyle w:val="BodyText"/>
      </w:pPr>
      <w:r>
        <w:t xml:space="preserve">A drilling-domain nuance worth knowing before you start: editing</w:t>
      </w:r>
      <w:r>
        <w:t xml:space="preserve"> </w:t>
      </w:r>
      <w:r>
        <w:t xml:space="preserve">a Survey or a Tie-on triggers Marduk's</w:t>
      </w:r>
      <w:r>
        <w:t xml:space="preserve"> </w:t>
      </w:r>
      <w:r>
        <w:rPr>
          <w:b/>
          <w:bCs/>
        </w:rPr>
        <w:t xml:space="preserve">auto-recalc</w:t>
      </w:r>
      <w:r>
        <w:t xml:space="preserve">, which</w:t>
      </w:r>
      <w:r>
        <w:t xml:space="preserve"> </w:t>
      </w:r>
      <w:r>
        <w:t xml:space="preserve">recomputes every other survey row on the same well and bumps each</w:t>
      </w:r>
      <w:r>
        <w:t xml:space="preserve"> </w:t>
      </w:r>
      <w:r>
        <w:t xml:space="preserve">one's rowversion as a side-effect. So if user A edits Survey #5</w:t>
      </w:r>
      <w:r>
        <w:t xml:space="preserve"> </w:t>
      </w:r>
      <w:r>
        <w:t xml:space="preserve">and user B is concurrently editing Survey #6</w:t>
      </w:r>
      <w:r>
        <w:t xml:space="preserve"> </w:t>
      </w:r>
      <w:r>
        <w:rPr>
          <w:i/>
          <w:iCs/>
        </w:rPr>
        <w:t xml:space="preserve">on the same well</w:t>
      </w:r>
      <w:r>
        <w:t xml:space="preserve">,</w:t>
      </w:r>
      <w:r>
        <w:t xml:space="preserve"> </w:t>
      </w:r>
      <w:r>
        <w:t xml:space="preserve">user B's save will 409 even though the two users picked different</w:t>
      </w:r>
      <w:r>
        <w:t xml:space="preserve"> </w:t>
      </w:r>
      <w:r>
        <w:t xml:space="preserve">rows. That's deliberate — user B's view of the trajectory has been</w:t>
      </w:r>
      <w:r>
        <w:t xml:space="preserve"> </w:t>
      </w:r>
      <w:r>
        <w:t xml:space="preserve">invalidated by user A's edit, every downstream computed column</w:t>
      </w:r>
      <w:r>
        <w:t xml:space="preserve"> </w:t>
      </w:r>
      <w:r>
        <w:t xml:space="preserve">(TVD, North, East, DLS, …) is stale, and the reload-and-retry</w:t>
      </w:r>
      <w:r>
        <w:t xml:space="preserve"> </w:t>
      </w:r>
      <w:r>
        <w:t xml:space="preserve">prompt is the right answer. CONC-30 / CONC-31 below verify this</w:t>
      </w:r>
      <w:r>
        <w:t xml:space="preserve"> </w:t>
      </w:r>
      <w:r>
        <w:t xml:space="preserve">trade-off fires the way the design says it will.</w:t>
      </w:r>
    </w:p>
    <w:bookmarkEnd w:id="125"/>
    <w:bookmarkStart w:id="126" w:name="how-to-set-up-two-tab-tests"/>
    <w:p>
      <w:pPr>
        <w:pStyle w:val="Heading3"/>
      </w:pPr>
      <w:r>
        <w:t xml:space="preserve">How to set up two-tab tests</w:t>
      </w:r>
    </w:p>
    <w:p>
      <w:pPr>
        <w:pStyle w:val="FirstParagraph"/>
      </w:pPr>
      <w:r>
        <w:t xml:space="preserve">You'll need</w:t>
      </w:r>
      <w:r>
        <w:t xml:space="preserve"> </w:t>
      </w:r>
      <w:r>
        <w:rPr>
          <w:b/>
          <w:bCs/>
        </w:rPr>
        <w:t xml:space="preserve">two browser windows on the same account</w:t>
      </w:r>
      <w:r>
        <w:t xml:space="preserve"> </w:t>
      </w:r>
      <w:r>
        <w:t xml:space="preserve">for most</w:t>
      </w:r>
      <w:r>
        <w:t xml:space="preserve"> </w:t>
      </w:r>
      <w:r>
        <w:t xml:space="preserve">of these. Either:</w:t>
      </w:r>
    </w:p>
    <w:p>
      <w:pPr>
        <w:pStyle w:val="Compact"/>
        <w:numPr>
          <w:ilvl w:val="0"/>
          <w:numId w:val="1024"/>
        </w:numPr>
      </w:pPr>
      <w:r>
        <w:t xml:space="preserve">Two normal tabs in the same browser session (works because</w:t>
      </w:r>
      <w:r>
        <w:t xml:space="preserve"> </w:t>
      </w:r>
      <w:r>
        <w:t xml:space="preserve">Blazor state is per-circuit, not per-tab),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24"/>
        </w:numPr>
      </w:pPr>
      <w:r>
        <w:t xml:space="preserve">One regular window + one InPrivate / Incognito window signed</w:t>
      </w:r>
      <w:r>
        <w:t xml:space="preserve"> </w:t>
      </w:r>
      <w:r>
        <w:t xml:space="preserve">in to the same account (tighter isolation; useful if you suspect</w:t>
      </w:r>
      <w:r>
        <w:t xml:space="preserve"> </w:t>
      </w:r>
      <w:r>
        <w:t xml:space="preserve">the two-tab path is sharing more state than it should).</w:t>
      </w:r>
    </w:p>
    <w:p>
      <w:pPr>
        <w:pStyle w:val="FirstParagraph"/>
      </w:pPr>
      <w:r>
        <w:t xml:space="preserve">Don't share a single tab — both halves of the conflict need their</w:t>
      </w:r>
      <w:r>
        <w:t xml:space="preserve"> </w:t>
      </w:r>
      <w:r>
        <w:t xml:space="preserve">own page-load state to make the rowversion mismatch real.</w:t>
      </w:r>
    </w:p>
    <w:bookmarkEnd w:id="126"/>
    <w:bookmarkStart w:id="127" w:name="X2b96b56914bed14e59da10f39c72f2d3794407b"/>
    <w:p>
      <w:pPr>
        <w:pStyle w:val="Heading3"/>
      </w:pPr>
      <w:r>
        <w:t xml:space="preserve">Happy-path saves (proves the helper isn't always-conflict)</w:t>
      </w:r>
    </w:p>
    <w:p>
      <w:pPr>
        <w:pStyle w:val="FirstParagraph"/>
      </w:pPr>
      <w:r>
        <w:t xml:space="preserve">Single-tab, single-user edits — these confirm the concurrency layer</w:t>
      </w:r>
      <w:r>
        <w:t xml:space="preserve"> </w:t>
      </w:r>
      <w:r>
        <w:t xml:space="preserve">doesn't break the normal flow. If any of these surfaces a conflict</w:t>
      </w:r>
      <w:r>
        <w:t xml:space="preserve"> </w:t>
      </w:r>
      <w:r>
        <w:t xml:space="preserve">banner, the helper is over-firing and you should stop and report</w:t>
      </w:r>
      <w:r>
        <w:t xml:space="preserve"> </w:t>
      </w:r>
      <w:r>
        <w:t xml:space="preserve">before continuing to the two-tab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CONC-01</w:t>
            </w:r>
          </w:p>
        </w:tc>
        <w:tc>
          <w:tcPr/>
          <w:p>
            <w:pPr>
              <w:pStyle w:val="Compact"/>
            </w:pPr>
            <w:r>
              <w:t xml:space="preserve">On any well in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, open a survey's edit page →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the grid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CONC-02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Description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CONC-03</w:t>
            </w:r>
          </w:p>
        </w:tc>
        <w:tc>
          <w:tcPr/>
          <w:p>
            <w:pPr>
              <w:pStyle w:val="Compact"/>
            </w:pPr>
            <w:r>
              <w:t xml:space="preserve">On the same well's Tubulars grid, inline-edit a row's Diameter → commit → row refreshes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→ 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CONC-05</w:t>
            </w:r>
          </w:p>
        </w:tc>
        <w:tc>
          <w:tcPr/>
          <w:p>
            <w:pPr>
              <w:pStyle w:val="Compact"/>
            </w:pPr>
            <w:r>
              <w:t xml:space="preserve">On a well that has a magnetic reference (any seeded well), edit the magnetic Declination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new value persists.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CONC-06</w:t>
            </w:r>
          </w:p>
        </w:tc>
        <w:tc>
          <w:tcPr/>
          <w:p>
            <w:pPr>
              <w:pStyle w:val="Compact"/>
            </w:pPr>
            <w:r>
              <w:t xml:space="preserve">On the same well, edit the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 → change one field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value persists. No conflict alert. (Tie-on edits trigger auto-recalc; the test confirms the well-scoped recalc doesn't 409 the</w:t>
            </w:r>
            <w:r>
              <w:t xml:space="preserve"> </w:t>
            </w:r>
            <w:r>
              <w:rPr>
                <w:i/>
                <w:iCs/>
              </w:rPr>
              <w:t xml:space="preserve">initiating</w:t>
            </w:r>
            <w:r>
              <w:t xml:space="preserve"> </w:t>
            </w:r>
            <w:r>
              <w:t xml:space="preserve">user's own save.)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7"/>
    <w:bookmarkStart w:id="128" w:name="two-tab-conflict--the-canonical-409"/>
    <w:p>
      <w:pPr>
        <w:pStyle w:val="Heading3"/>
      </w:pPr>
      <w:r>
        <w:t xml:space="preserve">Two-tab conflict — the canonical 409</w:t>
      </w:r>
    </w:p>
    <w:p>
      <w:pPr>
        <w:pStyle w:val="FirstParagraph"/>
      </w:pPr>
      <w:r>
        <w:t xml:space="preserve">For each of the entities below, follow this</w:t>
      </w:r>
      <w:r>
        <w:t xml:space="preserve"> </w:t>
      </w:r>
      <w:r>
        <w:rPr>
          <w:b/>
          <w:bCs/>
        </w:rPr>
        <w:t xml:space="preserve">shared method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Pick a record. Open its edit page in</w:t>
      </w:r>
      <w:r>
        <w:t xml:space="preserve"> </w:t>
      </w:r>
      <w:r>
        <w:rPr>
          <w:b/>
          <w:bCs/>
        </w:rPr>
        <w:t xml:space="preserve">Tab 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Tab B</w:t>
      </w:r>
      <w:r>
        <w:t xml:space="preserve"> </w:t>
      </w:r>
      <w:r>
        <w:t xml:space="preserve">(a fresh tab in the same browser, or a separate</w:t>
      </w:r>
      <w:r>
        <w:t xml:space="preserve"> </w:t>
      </w:r>
      <w:r>
        <w:t xml:space="preserve">InPrivate window signed in to the same account), open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record's edit page.</w:t>
      </w:r>
    </w:p>
    <w:p>
      <w:pPr>
        <w:pStyle w:val="Compact"/>
        <w:numPr>
          <w:ilvl w:val="0"/>
          <w:numId w:val="1025"/>
        </w:numPr>
      </w:pPr>
      <w:r>
        <w:t xml:space="preserve">In Tab A, change a field → click</w:t>
      </w:r>
      <w:r>
        <w:t xml:space="preserve"> </w:t>
      </w:r>
      <w:r>
        <w:rPr>
          <w:b/>
          <w:bCs/>
        </w:rPr>
        <w:t xml:space="preserve">Save</w:t>
      </w:r>
      <w:r>
        <w:t xml:space="preserve">. Tab A succeeds and</w:t>
      </w:r>
      <w:r>
        <w:t xml:space="preserve"> </w:t>
      </w:r>
      <w:r>
        <w:t xml:space="preserve">redirects away from the edit page.</w:t>
      </w:r>
    </w:p>
    <w:p>
      <w:pPr>
        <w:pStyle w:val="Compact"/>
        <w:numPr>
          <w:ilvl w:val="0"/>
          <w:numId w:val="1025"/>
        </w:numPr>
      </w:pPr>
      <w:r>
        <w:t xml:space="preserve">Without reloading Tab B, change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field in Tab B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Tab B should remain on the edit page and show a red alert</w:t>
      </w:r>
      <w:r>
        <w:t xml:space="preserve"> </w:t>
      </w:r>
      <w:r>
        <w:t xml:space="preserve">banner reading</w:t>
      </w:r>
      <w:r>
        <w:t xml:space="preserve"> </w:t>
      </w:r>
      <w:r>
        <w:rPr>
          <w:i/>
          <w:iCs/>
        </w:rPr>
        <w:t xml:space="preserve">Conflict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{entity}</w:t>
      </w:r>
      <w:r>
        <w:rPr>
          <w:i/>
          <w:iCs/>
        </w:rPr>
        <w:t xml:space="preserve"> </w:t>
      </w:r>
      <w:r>
        <w:rPr>
          <w:i/>
          <w:iCs/>
        </w:rPr>
        <w:t xml:space="preserve">was modified by</w:t>
      </w:r>
      <w:r>
        <w:rPr>
          <w:i/>
          <w:iCs/>
        </w:rPr>
        <w:t xml:space="preserve"> </w:t>
      </w:r>
      <w:r>
        <w:rPr>
          <w:i/>
          <w:iCs/>
        </w:rPr>
        <w:t xml:space="preserve">another user since you loaded it. Reload to see the latest</w:t>
      </w:r>
      <w:r>
        <w:rPr>
          <w:i/>
          <w:iCs/>
        </w:rPr>
        <w:t xml:space="preserve"> </w:t>
      </w:r>
      <w:r>
        <w:rPr>
          <w:i/>
          <w:iCs/>
        </w:rPr>
        <w:t xml:space="preserve">values, then re-apply your edit.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Entity / record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</w:t>
            </w:r>
            <w:r>
              <w:t xml:space="preserve"> </w:t>
            </w:r>
            <w:r>
              <w:t xml:space="preserve">— pick any survey on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— same well's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Tubular</w:t>
            </w:r>
            <w:r>
              <w:t xml:space="preserve"> </w:t>
            </w:r>
            <w:r>
              <w:t xml:space="preserve">— same well, any seeded tubular (use the dedicated edit page, not the inline grid; that's CONC-40).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</w:t>
            </w:r>
            <w:r>
              <w:t xml:space="preserve"> </w:t>
            </w:r>
            <w:r>
              <w:t xml:space="preserve">— same well, any seeded formation.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Measure</w:t>
            </w:r>
            <w:r>
              <w:t xml:space="preserve"> </w:t>
            </w:r>
            <w:r>
              <w:t xml:space="preserve">— same well, any seeded common measure.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/magnetics/edit</w:t>
            </w:r>
            <w:r>
              <w:t xml:space="preserve"> </w:t>
            </w:r>
            <w:r>
              <w:t xml:space="preserve">on a well that already has a reference (e.g. any seeded well).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/wells/{int}/edit</w:t>
            </w:r>
            <w:r>
              <w:t xml:space="preserve"> </w:t>
            </w:r>
            <w:r>
              <w:t xml:space="preserve">on any seeded well; change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's Edit page; change Description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; change Display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8"/>
    <w:bookmarkStart w:id="129" w:name="reload-and-retry-recovery"/>
    <w:p>
      <w:pPr>
        <w:pStyle w:val="Heading3"/>
      </w:pPr>
      <w:r>
        <w:t xml:space="preserve">Reload-and-retry recovery</w:t>
      </w:r>
    </w:p>
    <w:p>
      <w:pPr>
        <w:pStyle w:val="FirstParagraph"/>
      </w:pPr>
      <w:r>
        <w:t xml:space="preserve">Confirms the recovery path the alert text promises: after a 409 the</w:t>
      </w:r>
      <w:r>
        <w:t xml:space="preserve"> </w:t>
      </w:r>
      <w:r>
        <w:t xml:space="preserve">user can reload, see the</w:t>
      </w:r>
      <w:r>
        <w:t xml:space="preserve"> </w:t>
      </w:r>
      <w:r>
        <w:rPr>
          <w:i/>
          <w:iCs/>
        </w:rPr>
        <w:t xml:space="preserve">winning</w:t>
      </w:r>
      <w:r>
        <w:t xml:space="preserve"> </w:t>
      </w:r>
      <w:r>
        <w:t xml:space="preserve">edit, and successfully re-apply</w:t>
      </w:r>
      <w:r>
        <w:t xml:space="preserve"> </w:t>
      </w:r>
      <w:r>
        <w:t xml:space="preserve">their own change on top of it. If this fails, the 409 has soft-</w:t>
      </w:r>
      <w:r>
        <w:t xml:space="preserve"> </w:t>
      </w:r>
      <w:r>
        <w:t xml:space="preserve">locked the user out of their own edit — that's a real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CONC-20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b/>
                <w:bCs/>
              </w:rPr>
              <w:t xml:space="preserve">CONC-10</w:t>
            </w:r>
            <w:r>
              <w:t xml:space="preserve"> </w:t>
            </w:r>
            <w:r>
              <w:t xml:space="preserve">lands the conflict in Tab B,</w:t>
            </w:r>
            <w:r>
              <w:t xml:space="preserve"> </w:t>
            </w:r>
            <w:r>
              <w:rPr>
                <w:b/>
                <w:bCs/>
              </w:rPr>
              <w:t xml:space="preserve">F5</w:t>
            </w:r>
            <w:r>
              <w:t xml:space="preserve"> </w:t>
            </w:r>
            <w:r>
              <w:t xml:space="preserve">to reload Tab B. The edit form shows Tab A's saved value (the field Tab A changed). Re-enter Tab B's intended change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field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save succeeds; the detail page reflects both edits.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CONC-21</w:t>
            </w:r>
          </w:p>
        </w:tc>
        <w:tc>
          <w:tcPr/>
          <w:p>
            <w:pPr>
              <w:pStyle w:val="Compact"/>
            </w:pPr>
            <w:r>
              <w:t xml:space="preserve">Repeat with</w:t>
            </w:r>
            <w:r>
              <w:t xml:space="preserve"> </w:t>
            </w:r>
            <w:r>
              <w:rPr>
                <w:b/>
                <w:bCs/>
              </w:rPr>
              <w:t xml:space="preserve">CONC-17</w:t>
            </w:r>
            <w:r>
              <w:t xml:space="preserve"> </w:t>
            </w:r>
            <w:r>
              <w:t xml:space="preserve">(Job): after the conflict, reload Tab B and re-save. The detail page now reflects Tab A's Description change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Tab B's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9"/>
    <w:bookmarkStart w:id="130" w:name="Xd4723d20139e00cf9f00f51b98e457acaac8cd6"/>
    <w:p>
      <w:pPr>
        <w:pStyle w:val="Heading3"/>
      </w:pPr>
      <w:r>
        <w:t xml:space="preserve">Auto-recalc cross-row conflict — the trade-off</w:t>
      </w:r>
    </w:p>
    <w:p>
      <w:pPr>
        <w:pStyle w:val="FirstParagraph"/>
      </w:pPr>
      <w:r>
        <w:t xml:space="preserve">Specific to Survey + Tie-on edits, where Marduk's auto-recalc bumps</w:t>
      </w:r>
      <w:r>
        <w:t xml:space="preserve"> </w:t>
      </w:r>
      <w:r>
        <w:t xml:space="preserve">every sibling survey row's rowversion as a side-effect of the</w:t>
      </w:r>
      <w:r>
        <w:t xml:space="preserve"> </w:t>
      </w:r>
      <w:r>
        <w:t xml:space="preserve">edit. Verifies the conflict</w:t>
      </w:r>
      <w:r>
        <w:t xml:space="preserve"> </w:t>
      </w:r>
      <w:r>
        <w:rPr>
          <w:i/>
          <w:iCs/>
        </w:rPr>
        <w:t xml:space="preserve">fires</w:t>
      </w:r>
      <w:r>
        <w:t xml:space="preserve"> </w:t>
      </w:r>
      <w:r>
        <w:t xml:space="preserve">even when the two users edit</w:t>
      </w:r>
      <w:r>
        <w:t xml:space="preserve"> </w:t>
      </w:r>
      <w:r>
        <w:t xml:space="preserve">different rows on the same well. Not a bug — an acknowledged</w:t>
      </w:r>
      <w:r>
        <w:t xml:space="preserve"> </w:t>
      </w:r>
      <w:r>
        <w:t xml:space="preserve">trade-off documented in</w:t>
      </w:r>
      <w:r>
        <w:t xml:space="preserve"> </w:t>
      </w:r>
      <w:r>
        <w:rPr>
          <w:rStyle w:val="VerbatimChar"/>
        </w:rPr>
        <w:t xml:space="preserve">ConcurrencyHelper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CONC-30</w:t>
            </w:r>
          </w:p>
        </w:tc>
        <w:tc>
          <w:tcPr/>
          <w:p>
            <w:pPr>
              <w:pStyle w:val="Compact"/>
            </w:pPr>
            <w:r>
              <w:t xml:space="preserve">Pick a well with ≥ 2 surveys (any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Open Survey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(e.g. row #2) in Tab 1, Survey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row, e.g. row #5) in Tab 2. In Tab 1,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(Tab 1 succeeds; auto-recalc bumps every survey's rowversion server-side, including Survey B's). Without reloading, in Tab 2 change a field on Survey B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even though the two tabs targeted different rows. (This is the documented trade-off.)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CONC-31</w:t>
            </w:r>
          </w:p>
        </w:tc>
        <w:tc>
          <w:tcPr/>
          <w:p>
            <w:pPr>
              <w:pStyle w:val="Compact"/>
            </w:pPr>
            <w:r>
              <w:t xml:space="preserve">Same well. Open the</w:t>
            </w:r>
            <w:r>
              <w:t xml:space="preserve"> </w:t>
            </w: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edit in Tab 1 and a survey edit in Tab 2. Save Tab 1 (Tie-on edit also triggers auto-recalc — every survey rebases against the new anchor, rowversions bump). Save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CONC-32</w:t>
            </w:r>
          </w:p>
        </w:tc>
        <w:tc>
          <w:tcPr/>
          <w:p>
            <w:pPr>
              <w:pStyle w:val="Compact"/>
            </w:pPr>
            <w:r>
              <w:t xml:space="preserve">Counter-test: open Survey A in Tab 1 and Survey B on a</w:t>
            </w:r>
            <w:r>
              <w:t xml:space="preserve"> </w:t>
            </w:r>
            <w:r>
              <w:rPr>
                <w:b/>
                <w:bCs/>
              </w:rPr>
              <w:t xml:space="preserve">different well</w:t>
            </w:r>
            <w:r>
              <w:t xml:space="preserve"> </w:t>
            </w:r>
            <w:r>
              <w:t xml:space="preserve">(any well in NORTHSEA, say) in Tab 2. Save Tab 1 → save Tab 2 → both succeed. Auto-recalc is</w:t>
            </w:r>
            <w:r>
              <w:t xml:space="preserve"> </w:t>
            </w:r>
            <w:r>
              <w:rPr>
                <w:b/>
                <w:bCs/>
              </w:rPr>
              <w:t xml:space="preserve">per-well</w:t>
            </w:r>
            <w:r>
              <w:t xml:space="preserve">; cross-well edits do not collide.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0"/>
    <w:bookmarkStart w:id="131" w:name="X43d86ba3d7a3a071102d9230323080c7b0b07dc"/>
    <w:p>
      <w:pPr>
        <w:pStyle w:val="Heading3"/>
      </w:pPr>
      <w:r>
        <w:t xml:space="preserve">Inline-edit grids — Tubulars / Formations / Common Measures</w:t>
      </w:r>
    </w:p>
    <w:p>
      <w:pPr>
        <w:pStyle w:val="FirstParagraph"/>
      </w:pPr>
      <w:r>
        <w:t xml:space="preserve">The Syncfusion inline grids carry RowVersion on the GridRow DTO so</w:t>
      </w:r>
      <w:r>
        <w:t xml:space="preserve"> </w:t>
      </w:r>
      <w:r>
        <w:t xml:space="preserve">committing a row-edit hits the same concurrency path as a full</w:t>
      </w:r>
      <w:r>
        <w:t xml:space="preserve"> </w:t>
      </w:r>
      <w:r>
        <w:t xml:space="preserve">edit page. The conflict surface in a grid is typically Syncfusion's</w:t>
      </w:r>
      <w:r>
        <w:t xml:space="preserve"> </w:t>
      </w:r>
      <w:r>
        <w:t xml:space="preserve">error toast / inline error icon rather than a top-of-page banner</w:t>
      </w:r>
      <w:r>
        <w:t xml:space="preserve"> </w:t>
      </w:r>
      <w:r>
        <w:t xml:space="preserve">— note exactly what you see for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CONC-40</w:t>
            </w:r>
          </w:p>
        </w:tc>
        <w:tc>
          <w:tcPr/>
          <w:p>
            <w:pPr>
              <w:pStyle w:val="Compact"/>
            </w:pPr>
            <w:r>
              <w:t xml:space="preserve">On the same well, open the</w:t>
            </w:r>
            <w:r>
              <w:t xml:space="preserve"> </w:t>
            </w:r>
            <w:r>
              <w:rPr>
                <w:b/>
                <w:bCs/>
              </w:rPr>
              <w:t xml:space="preserve">Tubulars</w:t>
            </w:r>
            <w:r>
              <w:t xml:space="preserve"> </w:t>
            </w:r>
            <w:r>
              <w:t xml:space="preserve">grid in two tabs. Inline-edit and commit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in Tab 1. In Tab 2 (without refreshing), inline-edit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and commit. Tab 2's commit fails with a conflict surface; Tab 2's pending change is not persisted to the server (verify by refreshing — the row reflects Tab 1's change, not Tab 2's).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CONC-41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Formations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CONC-42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Common Measures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CONC-43</w:t>
            </w:r>
          </w:p>
        </w:tc>
        <w:tc>
          <w:tcPr/>
          <w:p>
            <w:pPr>
              <w:pStyle w:val="Compact"/>
            </w:pPr>
            <w:r>
              <w:t xml:space="preserve">Same well,</w:t>
            </w:r>
            <w:r>
              <w:t xml:space="preserve"> </w:t>
            </w:r>
            <w:r>
              <w:rPr>
                <w:b/>
                <w:bCs/>
              </w:rPr>
              <w:t xml:space="preserve">Surveys grid inline tie-on row</w:t>
            </w:r>
            <w:r>
              <w:t xml:space="preserve">. Inline-edit and commit the tie-on row in Tab 1. In Tab 2 (without refreshing the grid), inline-edit the same tie-on row and commit. Tab 2's commit fails.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1"/>
    <w:bookmarkStart w:id="132" w:name="wire-format-edge-cases"/>
    <w:p>
      <w:pPr>
        <w:pStyle w:val="Heading3"/>
      </w:pPr>
      <w:r>
        <w:t xml:space="preserve">Wire-format edge cases</w:t>
      </w:r>
    </w:p>
    <w:p>
      <w:pPr>
        <w:pStyle w:val="FirstParagraph"/>
      </w:pPr>
      <w:r>
        <w:t xml:space="preserve">Exercise the request shape itself rather than the conflict path.</w:t>
      </w:r>
      <w:r>
        <w:t xml:space="preserve"> </w:t>
      </w:r>
      <w:r>
        <w:t xml:space="preserve">Useful when something stops working — quick way to confirm the</w:t>
      </w:r>
      <w:r>
        <w:t xml:space="preserve"> </w:t>
      </w:r>
      <w:r>
        <w:t xml:space="preserve">client is still sending RowVersion and the server is still parsing</w:t>
      </w:r>
      <w:r>
        <w:t xml:space="preserve"> </w:t>
      </w:r>
      <w:r>
        <w:t xml:space="preserve">it correctly. Requires browser DevTools (F12 → Network).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CONC-50</w:t>
            </w:r>
          </w:p>
        </w:tc>
        <w:tc>
          <w:tcPr/>
          <w:p>
            <w:pPr>
              <w:pStyle w:val="Compact"/>
            </w:pPr>
            <w:r>
              <w:t xml:space="preserve">Open browser DevTools → Network tab. Reload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and inspect the JSON response from the WebApi GET. Each job entry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field, populated with a 12-character base64 string (e.g.</w:t>
            </w:r>
            <w:r>
              <w:t xml:space="preserve"> </w:t>
            </w:r>
            <w:r>
              <w:rPr>
                <w:rStyle w:val="VerbatimChar"/>
              </w:rPr>
              <w:t xml:space="preserve">"AAAAAAAAB9I="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CONC-51</w:t>
            </w:r>
          </w:p>
        </w:tc>
        <w:tc>
          <w:tcPr/>
          <w:p>
            <w:pPr>
              <w:pStyle w:val="Compact"/>
            </w:pPr>
            <w:r>
              <w:t xml:space="preserve">With DevTools recording, open any Job's edit page → change something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PUT request payload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 whose value matches what GET returned in CONC-50 (before this save bumps 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CONC-52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base64 malformed): on a Job edit page, open DevTools → Console and override the form's hidden RowVersion input to a non-base64 string, e.g.</w:t>
            </w:r>
            <w:r>
              <w:t xml:space="preserve"> </w:t>
            </w:r>
            <w:r>
              <w:rPr>
                <w:rStyle w:val="VerbatimChar"/>
              </w:rPr>
              <w:t xml:space="preserve">document.querySelectorAll('input[name$="RowVersion"]').forEach(i =&gt; i.value = 'NOT-BASE64@')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the error</w:t>
            </w:r>
            <w:r>
              <w:t xml:space="preserve"> </w:t>
            </w:r>
            <w:r>
              <w:rPr>
                <w:i/>
                <w:iCs/>
              </w:rPr>
              <w:t xml:space="preserve">RowVersion must be a base64-encoded byte sequence.</w:t>
            </w:r>
            <w:r>
              <w:t xml:space="preserve"> </w:t>
            </w:r>
            <w:r>
              <w:t xml:space="preserve">The page surfaces this as an alert banner;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CONC-53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RowVersion blanked): same setup as CONC-52, but blank the RowVersion input value.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RowVersion is required for optimistic concurrency.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2"/>
    <w:bookmarkStart w:id="133" w:name="magnetics--upsert-vs-update"/>
    <w:p>
      <w:pPr>
        <w:pStyle w:val="Heading3"/>
      </w:pPr>
      <w:r>
        <w:t xml:space="preserve">Magnetics — upsert vs update</w:t>
      </w:r>
    </w:p>
    <w:p>
      <w:pPr>
        <w:pStyle w:val="FirstParagraph"/>
      </w:pPr>
      <w:r>
        <w:t xml:space="preserve">Magnetics is a per-well singleton: the PUT endpoint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the</w:t>
      </w:r>
      <w:r>
        <w:t xml:space="preserve"> </w:t>
      </w:r>
      <w:r>
        <w:t xml:space="preserve">row if it doesn't exist and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 otherwise. The</w:t>
      </w:r>
      <w:r>
        <w:t xml:space="preserve"> </w:t>
      </w:r>
      <w:r>
        <w:t xml:space="preserve">concurrency token only applies to the update path — there is no</w:t>
      </w:r>
      <w:r>
        <w:t xml:space="preserve"> </w:t>
      </w:r>
      <w:r>
        <w:t xml:space="preserve">prior rowversion to conflict with on the very first save.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CONC-60</w:t>
            </w:r>
          </w:p>
        </w:tc>
        <w:tc>
          <w:tcPr/>
          <w:p>
            <w:pPr>
              <w:pStyle w:val="Compact"/>
            </w:pPr>
            <w:r>
              <w:t xml:space="preserve">Pick a well with</w:t>
            </w:r>
            <w:r>
              <w:t xml:space="preserve"> </w:t>
            </w:r>
            <w:r>
              <w:rPr>
                <w:b/>
                <w:bCs/>
              </w:rPr>
              <w:t xml:space="preserve">no magnetic reference</w:t>
            </w:r>
            <w:r>
              <w:t xml:space="preserve"> </w:t>
            </w:r>
            <w:r>
              <w:t xml:space="preserve">(e.g. a freshly-created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). Click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→ fill values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page accepts the save without a RowVersion-required error. (Confirms the create branch correctly skips the concurrency token.)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CONC-61</w:t>
            </w:r>
          </w:p>
        </w:tc>
        <w:tc>
          <w:tcPr/>
          <w:p>
            <w:pPr>
              <w:pStyle w:val="Compact"/>
            </w:pPr>
            <w:r>
              <w:t xml:space="preserve">After CONC-60, open the now-existing magnetic reference's edit page in two tabs. Save in Tab 1 → save in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 (Confirms the update branch enforces the token even though the create branch didn't.)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3"/>
    <w:bookmarkStart w:id="134" w:name="lifecycle-transitions"/>
    <w:p>
      <w:pPr>
        <w:pStyle w:val="Heading3"/>
      </w:pPr>
      <w:r>
        <w:t xml:space="preserve">Lifecycle transitions</w:t>
      </w:r>
    </w:p>
    <w:p>
      <w:pPr>
        <w:pStyle w:val="FirstParagraph"/>
      </w:pPr>
      <w:r>
        <w:t xml:space="preserve">Job and Tenant lifecycle endpoints (Activate / Archive / Deactivate</w:t>
      </w:r>
      <w:r>
        <w:t xml:space="preserve"> </w:t>
      </w:r>
      <w:r>
        <w:t xml:space="preserve">/ Reactivate) are POST verbs, not PUT.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a</w:t>
      </w:r>
      <w:r>
        <w:t xml:space="preserve"> </w:t>
      </w:r>
      <w:r>
        <w:t xml:space="preserve">RowVersion — they're invoked from the detail page where there's no</w:t>
      </w:r>
      <w:r>
        <w:t xml:space="preserve"> </w:t>
      </w:r>
      <w:r>
        <w:t xml:space="preserve">form to round-trip a token. The concurrency layer only protects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the record, not the lifecycle state. Verify these</w:t>
      </w:r>
      <w:r>
        <w:t xml:space="preserve"> </w:t>
      </w:r>
      <w:r>
        <w:t xml:space="preserve">remain unaffected.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CONC-65</w:t>
            </w:r>
          </w:p>
        </w:tc>
        <w:tc>
          <w:tcPr/>
          <w:p>
            <w:pPr>
              <w:pStyle w:val="Compact"/>
            </w:pPr>
            <w:r>
              <w:t xml:space="preserve">Open a Job in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 </w:t>
            </w:r>
            <w:r>
              <w:t xml:space="preserve">state in two tabs.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1 → status flips to Active.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2 (whose page state still shows Draft). Tab 2's request is idempotent (target == current server state) and returns 204; the page reloads showing Active.</w:t>
            </w:r>
            <w:r>
              <w:t xml:space="preserve"> </w:t>
            </w:r>
            <w:r>
              <w:rPr>
                <w:i/>
                <w:iCs/>
              </w:rPr>
              <w:t xml:space="preserve">No 409 here</w:t>
            </w:r>
            <w:r>
              <w:t xml:space="preserve"> </w:t>
            </w:r>
            <w:r>
              <w:t xml:space="preserve">— lifecycle transitions are state-machine guarded, not RowVersion guarded, and idempotent self-transitions are allowed by design.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CONC-66</w:t>
            </w:r>
          </w:p>
        </w:tc>
        <w:tc>
          <w:tcPr/>
          <w:p>
            <w:pPr>
              <w:pStyle w:val="Compact"/>
            </w:pPr>
            <w:r>
              <w:t xml:space="preserve">Same setup but a</w:t>
            </w:r>
            <w:r>
              <w:t xml:space="preserve"> </w:t>
            </w:r>
            <w:r>
              <w:rPr>
                <w:i/>
                <w:iCs/>
              </w:rPr>
              <w:t xml:space="preserve">non</w:t>
            </w:r>
            <w:r>
              <w:t xml:space="preserve">-idempotent collision. Tab 1 clicks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on the Draft job (Draft → Archived; Archived is terminal). Tab 2, still showing Draft, clicks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. Server resolves the request as</w:t>
            </w:r>
            <w:r>
              <w:t xml:space="preserve"> </w:t>
            </w:r>
            <w:r>
              <w:rPr>
                <w:rStyle w:val="VerbatimChar"/>
              </w:rPr>
              <w:t xml:space="preserve">Archived → Active</w:t>
            </w:r>
            <w:r>
              <w:t xml:space="preserve">, which the state machine rejects: Tab 2 lands on a 409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reading</w:t>
            </w:r>
            <w:r>
              <w:t xml:space="preserve"> </w:t>
            </w:r>
            <w:r>
              <w:rPr>
                <w:i/>
                <w:iCs/>
              </w:rPr>
              <w:t xml:space="preserve">Cannot transition job from Archived to Active.</w:t>
            </w:r>
            <w:r>
              <w:t xml:space="preserve"> </w:t>
            </w:r>
            <w:r>
              <w:t xml:space="preserve">(Lifecycle conflicts surface as 409 ConflictProblem from the state machine, not the RowVersion check — but the alert text is just as useful.)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4"/>
    <w:bookmarkStart w:id="135" w:name="X0b1450daececa2b52ba2e7ab05991096c68b325"/>
    <w:p>
      <w:pPr>
        <w:pStyle w:val="Heading3"/>
      </w:pPr>
      <w:r>
        <w:t xml:space="preserve">Tenant Members — out of scope (acknowledged tech debt)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TenantUser</w:t>
      </w:r>
      <w:r>
        <w:t xml:space="preserve"> </w:t>
      </w:r>
      <w:r>
        <w:t xml:space="preserve">row in the master DB does not currently carry a</w:t>
      </w:r>
      <w:r>
        <w:t xml:space="preserve"> </w:t>
      </w:r>
      <w:r>
        <w:t xml:space="preserve">rowversion column. Adding one requires a master-DB migration that</w:t>
      </w:r>
      <w:r>
        <w:t xml:space="preserve"> </w:t>
      </w:r>
      <w:r>
        <w:t xml:space="preserve">isn't justified for an admin-only path with an extremely thin</w:t>
      </w:r>
      <w:r>
        <w:t xml:space="preserve"> </w:t>
      </w:r>
      <w:r>
        <w:t xml:space="preserve">race window, so the role-change PATCH on</w:t>
      </w:r>
      <w:r>
        <w:t xml:space="preserve"> </w:t>
      </w:r>
      <w:r>
        <w:rPr>
          <w:rStyle w:val="VerbatimChar"/>
        </w:rPr>
        <w:t xml:space="preserve">TenantMembersController</w:t>
      </w:r>
      <w:r>
        <w:t xml:space="preserve"> </w:t>
      </w:r>
      <w:r>
        <w:t xml:space="preserve">intentionally does not enforce optimistic concurrency. This is</w:t>
      </w:r>
      <w:r>
        <w:t xml:space="preserve"> </w:t>
      </w:r>
      <w:r>
        <w:t xml:space="preserve">documented as tech debt; revisit if/when membership becomes a</w:t>
      </w:r>
      <w:r>
        <w:t xml:space="preserve"> </w:t>
      </w:r>
      <w:r>
        <w:t xml:space="preserve">collaborative-edit hot spot. The test below confirms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the conflict — last-write-wins is the documented</w:t>
      </w:r>
      <w:r>
        <w:t xml:space="preserve"> </w:t>
      </w:r>
      <w:r>
        <w:t xml:space="preserve">behaviour, not a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CONC-70</w:t>
            </w:r>
          </w:p>
        </w:tc>
        <w:tc>
          <w:tcPr/>
          <w:p>
            <w:pPr>
              <w:pStyle w:val="Compact"/>
            </w:pPr>
            <w:r>
              <w:t xml:space="preserve">On a tenant's Members page, change one member's role in two tabs concurrently (e.g. Tab 1 sets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 </w:t>
            </w:r>
            <w:r>
              <w:t xml:space="preserve">to Viewer; Tab 2, without reloading, sets him to Contributor). Both PATCHes succeed (last save wins). Refresh — the role reflects whichever save fired second.</w:t>
            </w:r>
            <w:r>
              <w:t xml:space="preserve"> </w:t>
            </w:r>
            <w:r>
              <w:rPr>
                <w:b/>
                <w:bCs/>
              </w:rPr>
              <w:t xml:space="preserve">No 409.</w:t>
            </w:r>
            <w:r>
              <w:t xml:space="preserve"> </w:t>
            </w:r>
            <w:r>
              <w:t xml:space="preserve">This is the documented behaviour. If you see a 409, the codebase has gained TenantUser.RowVersion since this doc was written and CONC-70 needs updating.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5"/>
    <w:bookmarkEnd w:id="136"/>
    <w:bookmarkStart w:id="141" w:name="audit-history-per-tenant-change-log"/>
    <w:p>
      <w:pPr>
        <w:pStyle w:val="Heading2"/>
      </w:pPr>
      <w:r>
        <w:t xml:space="preserve">Audit history (per-tenant change log)</w:t>
      </w:r>
    </w:p>
    <w:bookmarkStart w:id="137" w:name="what-youre-testing-20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IAuditable mutation in a tenant DB (Job, Well, Survey,</w:t>
      </w:r>
      <w:r>
        <w:t xml:space="preserve"> </w:t>
      </w:r>
      <w:r>
        <w:t xml:space="preserve">Tie-on, Tubular, Formation, Common Measure, Magnetics) now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table. The capture is</w:t>
      </w:r>
      <w:r>
        <w:t xml:space="preserve"> </w:t>
      </w:r>
      <w:r>
        <w:t xml:space="preserve">atomic with the underlying mutation — failed saves roll the</w:t>
      </w:r>
      <w:r>
        <w:t xml:space="preserve"> </w:t>
      </w:r>
      <w:r>
        <w:t xml:space="preserve">audit row back too, so the table never claims a change that</w:t>
      </w:r>
      <w:r>
        <w:t xml:space="preserve"> </w:t>
      </w:r>
      <w:r>
        <w:t xml:space="preserve">didn't actually land. Each row carries: entity type + id,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), JSON snapshots of the</w:t>
      </w:r>
      <w:r>
        <w:t xml:space="preserve"> </w:t>
      </w:r>
      <w:r>
        <w:t xml:space="preserve">property values before and after, the pipe-delimited list of</w:t>
      </w:r>
      <w:r>
        <w:t xml:space="preserve"> </w:t>
      </w:r>
      <w:r>
        <w:t xml:space="preserve">properties that actually changed (Updated only), the timestamp,</w:t>
      </w:r>
      <w:r>
        <w:t xml:space="preserve"> </w:t>
      </w:r>
      <w:r>
        <w:t xml:space="preserve">and the user identity.</w:t>
      </w:r>
    </w:p>
    <w:p>
      <w:pPr>
        <w:pStyle w:val="BodyText"/>
      </w:pPr>
      <w:r>
        <w:t xml:space="preserve">The "Recent changes" tile on Job and Well detail pages renders</w:t>
      </w:r>
      <w:r>
        <w:t xml:space="preserve"> </w:t>
      </w:r>
      <w:r>
        <w:t xml:space="preserve">the most recent 10 rows for that entity. A tenant-wide audit</w:t>
      </w:r>
      <w:r>
        <w:t xml:space="preserve"> </w:t>
      </w:r>
      <w:r>
        <w:t xml:space="preserve">feed is 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 </w:t>
      </w:r>
      <w:r>
        <w:t xml:space="preserve">(paged via</w:t>
      </w:r>
      <w:r>
        <w:t xml:space="preserve"> </w:t>
      </w:r>
      <w:r>
        <w:rPr>
          <w:rStyle w:val="VerbatimChar"/>
        </w:rPr>
        <w:t xml:space="preserve">PagedResult&lt;T&gt;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take=50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ceiling).</w:t>
      </w:r>
    </w:p>
    <w:p>
      <w:pPr>
        <w:pStyle w:val="BodyText"/>
      </w:pPr>
      <w:r>
        <w:t xml:space="preserve">A drilling-domain note: every Survey or Tie-on edit triggers</w:t>
      </w:r>
      <w:r>
        <w:t xml:space="preserve"> </w:t>
      </w:r>
      <w:r>
        <w:t xml:space="preserve">Marduk's per-well auto-recalc which writes back to every survey</w:t>
      </w:r>
      <w:r>
        <w:t xml:space="preserve"> </w:t>
      </w:r>
      <w:r>
        <w:t xml:space="preserve">on the well. So a single user-visible "edit Survey #5" produces</w:t>
      </w:r>
      <w:r>
        <w:t xml:space="preserve"> </w:t>
      </w:r>
      <w:r>
        <w:t xml:space="preserve">N audit rows where N = surveys on the well. The per-Well tile</w:t>
      </w:r>
      <w:r>
        <w:t xml:space="preserve"> </w:t>
      </w:r>
      <w:r>
        <w:t xml:space="preserve">shows this ripple at well granularity (the right grain); per-</w:t>
      </w:r>
      <w:r>
        <w:t xml:space="preserve"> </w:t>
      </w:r>
      <w:r>
        <w:t xml:space="preserve">Survey tiles aren't wired for this reason.</w:t>
      </w:r>
    </w:p>
    <w:bookmarkEnd w:id="137"/>
    <w:bookmarkStart w:id="138" w:name="tile-present-on-detail-pages"/>
    <w:p>
      <w:pPr>
        <w:pStyle w:val="Heading3"/>
      </w:pPr>
      <w:r>
        <w:t xml:space="preserve">Tile present on detail pages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AUDH-01</w:t>
            </w:r>
          </w:p>
        </w:tc>
        <w:tc>
          <w:tcPr/>
          <w:p>
            <w:pPr>
              <w:pStyle w:val="Compact"/>
            </w:pPr>
            <w:r>
              <w:t xml:space="preserve">Open any Well's detail page (e.g. 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well). Below the magnetic-reference block, a</w:t>
            </w:r>
            <w:r>
              <w:t xml:space="preserve"> </w:t>
            </w:r>
            <w:r>
              <w:rPr>
                <w:b/>
                <w:bCs/>
              </w:rPr>
              <w:t xml:space="preserve">"Recent changes"</w:t>
            </w:r>
            <w:r>
              <w:t xml:space="preserve"> </w:t>
            </w:r>
            <w:r>
              <w:t xml:space="preserve">card renders. If the well has been edited recently it lists rows; if not, it shows</w:t>
            </w:r>
            <w:r>
              <w:t xml:space="preserve"> </w:t>
            </w:r>
            <w:r>
              <w:rPr>
                <w:i/>
                <w:iCs/>
              </w:rPr>
              <w:t xml:space="preserve">No changes recorded yet.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AUDH-02</w:t>
            </w:r>
          </w:p>
        </w:tc>
        <w:tc>
          <w:tcPr/>
          <w:p>
            <w:pPr>
              <w:pStyle w:val="Compact"/>
            </w:pPr>
            <w:r>
              <w:t xml:space="preserve">Open any Job's detail page (e.g.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). Same tile renders below the Wells stat-cards.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AUDH-03</w:t>
            </w:r>
          </w:p>
        </w:tc>
        <w:tc>
          <w:tcPr/>
          <w:p>
            <w:pPr>
              <w:pStyle w:val="Compact"/>
            </w:pPr>
            <w:r>
              <w:t xml:space="preserve">The tile's table headers read</w:t>
            </w:r>
            <w:r>
              <w:t xml:space="preserve"> </w:t>
            </w:r>
            <w:r>
              <w:rPr>
                <w:b/>
                <w:bCs/>
              </w:rPr>
              <w:t xml:space="preserve">When / Action / By / Fields changed</w:t>
            </w:r>
            <w:r>
              <w:t xml:space="preserve">. Each row shows the action as a pill (Created/Updated/Deleted).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8"/>
    <w:bookmarkStart w:id="139" w:name="capture-happens-on-user-actions"/>
    <w:p>
      <w:pPr>
        <w:pStyle w:val="Heading3"/>
      </w:pPr>
      <w:r>
        <w:t xml:space="preserve">Capture happens on user actions</w:t>
      </w:r>
    </w:p>
    <w:p>
      <w:pPr>
        <w:pStyle w:val="FirstParagraph"/>
      </w:pPr>
      <w:r>
        <w:t xml:space="preserve">For each test below, perform the action then refresh the detail</w:t>
      </w:r>
      <w:r>
        <w:t xml:space="preserve"> </w:t>
      </w:r>
      <w:r>
        <w:t xml:space="preserve">page and verify the new audit row 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AUDH-10</w:t>
            </w:r>
          </w:p>
        </w:tc>
        <w:tc>
          <w:tcPr/>
          <w:p>
            <w:pPr>
              <w:pStyle w:val="Compact"/>
            </w:pPr>
            <w:r>
              <w:t xml:space="preserve">Edit a well's Name → Save → reload the well's detail page. The audit tile shows a new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at the top with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= your username and</w:t>
            </w:r>
            <w:r>
              <w:t xml:space="preserve"> </w:t>
            </w:r>
            <w:r>
              <w:rPr>
                <w:rStyle w:val="VerbatimChar"/>
              </w:rPr>
              <w:t xml:space="preserve">Fields changed: 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AUDH-11</w:t>
            </w:r>
          </w:p>
        </w:tc>
        <w:tc>
          <w:tcPr/>
          <w:p>
            <w:pPr>
              <w:pStyle w:val="Compact"/>
            </w:pPr>
            <w:r>
              <w:t xml:space="preserve">Edit a Job's Description → Save → reload Job detail. Tile shows an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Fields changed: Description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AUDH-12</w:t>
            </w:r>
          </w:p>
        </w:tc>
        <w:tc>
          <w:tcPr/>
          <w:p>
            <w:pPr>
              <w:pStyle w:val="Compact"/>
            </w:pPr>
            <w:r>
              <w:t xml:space="preserve">Create a new well under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(or any test tenant) → reload the well's detail page. Tile shows a</w:t>
            </w:r>
            <w:r>
              <w:t xml:space="preserve"> </w:t>
            </w:r>
            <w:r>
              <w:rPr>
                <w:b/>
                <w:bCs/>
              </w:rPr>
              <w:t xml:space="preserve">Created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(initial values)</w:t>
            </w:r>
            <w:r>
              <w:t xml:space="preserve"> </w:t>
            </w:r>
            <w:r>
              <w:t xml:space="preserve">for Fields changed.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AUDH-13</w:t>
            </w:r>
          </w:p>
        </w:tc>
        <w:tc>
          <w:tcPr/>
          <w:p>
            <w:pPr>
              <w:pStyle w:val="Compact"/>
            </w:pPr>
            <w:r>
              <w:t xml:space="preserve">The Surveys auto-recalc ripple: edit any single survey on a multi-survey well → reload the</w:t>
            </w:r>
            <w:r>
              <w:t xml:space="preserve"> </w:t>
            </w:r>
            <w:r>
              <w:rPr>
                <w:b/>
                <w:bCs/>
              </w:rPr>
              <w:t xml:space="preserve">well's</w:t>
            </w:r>
            <w:r>
              <w:t xml:space="preserve"> </w:t>
            </w:r>
            <w:r>
              <w:t xml:space="preserve">detail page (not the survey's). The audit tile shows multiple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rows from the recalc — every survey row's rowversion bumped. This is the documented per-well ripple, not a bug.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9"/>
    <w:bookmarkStart w:id="140" w:name="tenant-wide-audit-feed-admin"/>
    <w:p>
      <w:pPr>
        <w:pStyle w:val="Heading3"/>
      </w:pPr>
      <w:r>
        <w:t xml:space="preserve">Tenant-wide audit feed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AUDH-20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http://localhost:5107/tenants/PERMIAN/audit?take=10</w:t>
            </w:r>
            <w:r>
              <w:t xml:space="preserve"> </w:t>
            </w:r>
            <w:r>
              <w:t xml:space="preserve">in a browser tab (you'll need to be authenticated). The JSON response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PagedResult&lt;AuditLogEntryDto&gt;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take=10</w:t>
            </w:r>
            <w:r>
              <w:t xml:space="preserve">. Each item has</w:t>
            </w:r>
            <w:r>
              <w:t xml:space="preserve"> </w:t>
            </w:r>
            <w:r>
              <w:rPr>
                <w:rStyle w:val="VerbatimChar"/>
              </w:rPr>
              <w:t xml:space="preserve">entityType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changedBy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AUDH-21</w:t>
            </w:r>
          </w:p>
        </w:tc>
        <w:tc>
          <w:tcPr/>
          <w:p>
            <w:pPr>
              <w:pStyle w:val="Compact"/>
            </w:pPr>
            <w:r>
              <w:t xml:space="preserve">The audit feed is per-tenant: hitting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/tenants/PERMIAN/audit</w:t>
            </w:r>
            <w:r>
              <w:t xml:space="preserve"> </w:t>
            </w:r>
            <w:r>
              <w:t xml:space="preserve">only returns PERMIAN's changes. NORTHSEA / BOREAL data is not visible from this URL — confirms isolation extends to the audit table.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0"/>
    <w:bookmarkEnd w:id="141"/>
    <w:bookmarkStart w:id="144" w:name="well-soft-delete--archive--restore"/>
    <w:p>
      <w:pPr>
        <w:pStyle w:val="Heading2"/>
      </w:pPr>
      <w:r>
        <w:t xml:space="preserve">Well soft-delete / archive / restore</w:t>
      </w:r>
    </w:p>
    <w:bookmarkStart w:id="142" w:name="what-youre-testing-21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Wells now soft-delete:</w:t>
      </w:r>
      <w:r>
        <w:t xml:space="preserve"> </w:t>
      </w:r>
      <w:r>
        <w:rPr>
          <w:rStyle w:val="VerbatimChar"/>
        </w:rPr>
        <w:t xml:space="preserve">WellsController.Delete</w:t>
      </w:r>
      <w:r>
        <w:t xml:space="preserve"> </w:t>
      </w:r>
      <w:r>
        <w:t xml:space="preserve">sets the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column rather than removing the row. The global</w:t>
      </w:r>
      <w:r>
        <w:t xml:space="preserve"> </w:t>
      </w:r>
      <w:r>
        <w:t xml:space="preserve">EF query filter (</w:t>
      </w:r>
      <w:r>
        <w:rPr>
          <w:rStyle w:val="VerbatimChar"/>
        </w:rPr>
        <w:t xml:space="preserve">w.ArchivedAt == null</w:t>
      </w:r>
      <w:r>
        <w:t xml:space="preserve">) hides archived wells</w:t>
      </w:r>
      <w:r>
        <w:t xml:space="preserve"> </w:t>
      </w:r>
      <w:r>
        <w:t xml:space="preserve">from default reads. The previous "child rows → 409" guard is</w:t>
      </w:r>
      <w:r>
        <w:t xml:space="preserve"> </w:t>
      </w:r>
      <w:r>
        <w:t xml:space="preserve">gone — soft-archive is non-destructive, so the cascade-of-</w:t>
      </w:r>
      <w:r>
        <w:t xml:space="preserve"> </w:t>
      </w:r>
      <w:r>
        <w:t xml:space="preserve">confirmation isn't necessary. 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 </w:t>
      </w:r>
      <w:r>
        <w:t xml:space="preserve">clears the marker;</w:t>
      </w:r>
      <w:r>
        <w:t xml:space="preserve"> </w:t>
      </w:r>
      <w:r>
        <w:rPr>
          <w:rStyle w:val="VerbatimChar"/>
        </w:rPr>
        <w:t xml:space="preserve">GET .../wells/archived</w:t>
      </w:r>
      <w:r>
        <w:t xml:space="preserve"> </w:t>
      </w:r>
      <w:r>
        <w:t xml:space="preserve">lists what's been</w:t>
      </w:r>
      <w:r>
        <w:t xml:space="preserve"> </w:t>
      </w:r>
      <w:r>
        <w:t xml:space="preserve">archived under the job.</w:t>
      </w:r>
    </w:p>
    <w:p>
      <w:pPr>
        <w:pStyle w:val="BodyText"/>
      </w:pPr>
      <w:r>
        <w:t xml:space="preserve">The user-visible UX of clicking "Delete well" is unchanged —</w:t>
      </w:r>
      <w:r>
        <w:t xml:space="preserve"> </w:t>
      </w:r>
      <w:r>
        <w:t xml:space="preserve">the well disappears from the list. The change is that it's</w:t>
      </w:r>
      <w:r>
        <w:t xml:space="preserve"> </w:t>
      </w:r>
      <w:r>
        <w:t xml:space="preserve">restorable rather than gone forever, which is a strict</w:t>
      </w:r>
      <w:r>
        <w:t xml:space="preserve"> </w:t>
      </w:r>
      <w:r>
        <w:t xml:space="preserve">improvement.</w:t>
      </w:r>
    </w:p>
    <w:bookmarkEnd w:id="142"/>
    <w:bookmarkStart w:id="143" w:name="tests-6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ARC-01</w:t>
            </w:r>
          </w:p>
        </w:tc>
        <w:tc>
          <w:tcPr/>
          <w:p>
            <w:pPr>
              <w:pStyle w:val="Compact"/>
            </w:pPr>
            <w:r>
              <w:t xml:space="preserve">Pick any well that</w:t>
            </w:r>
            <w:r>
              <w:t xml:space="preserve"> </w:t>
            </w:r>
            <w:r>
              <w:rPr>
                <w:b/>
                <w:bCs/>
              </w:rPr>
              <w:t xml:space="preserve">has surveys</w:t>
            </w:r>
            <w:r>
              <w:t xml:space="preserve"> </w:t>
            </w:r>
            <w:r>
              <w:t xml:space="preserve">(e.g. 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On the well's detail or edit page, click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confirm. Page redirects to the wells list; the well is no longer in the list. (Compare with the old behaviour: this would have 409'd.)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ARC-02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GET http://localhost:5107/tenants/PERMIAN/jobs/{jobId}/wells/archived</w:t>
            </w:r>
            <w:r>
              <w:t xml:space="preserve"> </w:t>
            </w:r>
            <w:r>
              <w:t xml:space="preserve">(browser, authenticated) — the archived well from ARC-01 appears in the response with its old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intact.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POST http://localhost:5107/tenants/PERMIAN/jobs/{jobId}/wells/{wellId}/restore</w:t>
            </w:r>
            <w:r>
              <w:t xml:space="preserve"> </w:t>
            </w:r>
            <w:r>
              <w:t xml:space="preserve">(DevTools / fetch — no body). Returns 204.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ARC-04</w:t>
            </w:r>
          </w:p>
        </w:tc>
        <w:tc>
          <w:tcPr/>
          <w:p>
            <w:pPr>
              <w:pStyle w:val="Compact"/>
            </w:pPr>
            <w:r>
              <w:t xml:space="preserve">After ARC-03, the well reappears in the wells list. Its survey rows / tubulars / formations are intact (soft-delete didn't cascade to children).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ARC-05</w:t>
            </w:r>
          </w:p>
        </w:tc>
        <w:tc>
          <w:tcPr/>
          <w:p>
            <w:pPr>
              <w:pStyle w:val="Compact"/>
            </w:pPr>
            <w:r>
              <w:t xml:space="preserve">Try to delete the well a second time (immediately after ARC-01, before restoring) —</w:t>
            </w:r>
            <w:r>
              <w:t xml:space="preserve"> </w:t>
            </w:r>
            <w:r>
              <w:rPr>
                <w:rStyle w:val="VerbatimChar"/>
              </w:rPr>
              <w:t xml:space="preserve">DELETE .../wells/{id}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, not 409 or 204. The query filter hides the archived row, so the controller treats it as "doesn't exist" — same shape as a never-existed well from a stale browser tab.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ARC-06</w:t>
            </w:r>
          </w:p>
        </w:tc>
        <w:tc>
          <w:tcPr/>
          <w:p>
            <w:pPr>
              <w:pStyle w:val="Compact"/>
            </w:pPr>
            <w:r>
              <w:t xml:space="preserve">Restore an already-active well (no prior archive).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 </w:t>
            </w:r>
            <w:r>
              <w:t xml:space="preserve">returns 204 (idempotent),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3"/>
    <w:bookmarkEnd w:id="144"/>
    <w:bookmarkStart w:id="147" w:name="health-check-endpoints"/>
    <w:p>
      <w:pPr>
        <w:pStyle w:val="Heading2"/>
      </w:pPr>
      <w:r>
        <w:t xml:space="preserve">Health-check endpoints</w:t>
      </w:r>
    </w:p>
    <w:bookmarkStart w:id="145" w:name="what-youre-testing-22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Three anonymous endpoints, designed for orchestrator probes: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/health/live</w:t>
      </w:r>
      <w:r>
        <w:t xml:space="preserve"> </w:t>
      </w:r>
      <w:r>
        <w:t xml:space="preserve">— constant Healthy. The probe a k8s livenessProbe</w:t>
      </w:r>
      <w:r>
        <w:t xml:space="preserve"> </w:t>
      </w:r>
      <w:r>
        <w:t xml:space="preserve">should call: it doesn't depend on any external service, so a SQL</w:t>
      </w:r>
      <w:r>
        <w:t xml:space="preserve"> </w:t>
      </w:r>
      <w:r>
        <w:t xml:space="preserve">Server hiccup never triggers a kill-restart loop.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/health/ready</w:t>
      </w:r>
      <w:r>
        <w:t xml:space="preserve"> </w:t>
      </w:r>
      <w:r>
        <w:t xml:space="preserve">— runs the master-DB connectivity check. The probe</w:t>
      </w:r>
      <w:r>
        <w:t xml:space="preserve"> </w:t>
      </w:r>
      <w:r>
        <w:t xml:space="preserve">a load-balancer / readinessProbe should call: when the DB is down</w:t>
      </w:r>
      <w:r>
        <w:t xml:space="preserve"> </w:t>
      </w:r>
      <w:r>
        <w:t xml:space="preserve">the LB drains traffic instead of cycling the pod.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— aggregate; runs every check. For humans / dashboards.</w:t>
      </w:r>
    </w:p>
    <w:p>
      <w:pPr>
        <w:pStyle w:val="FirstParagraph"/>
      </w:pPr>
      <w:r>
        <w:t xml:space="preserve">All three are anonymous (no token required). The Blazor host's own</w:t>
      </w:r>
      <w:r>
        <w:t xml:space="preserve"> </w:t>
      </w:r>
      <w:r>
        <w:t xml:space="preserve">upstream-wait probe targets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(cheap; no false-cancels</w:t>
      </w:r>
      <w:r>
        <w:t xml:space="preserve"> </w:t>
      </w:r>
      <w:r>
        <w:t xml:space="preserve">on cold start).</w:t>
      </w:r>
    </w:p>
    <w:bookmarkEnd w:id="145"/>
    <w:bookmarkStart w:id="146" w:name="tests-7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</w:t>
            </w:r>
            <w:r>
              <w:t xml:space="preserve"> </w:t>
            </w:r>
            <w:r>
              <w:t xml:space="preserve">in a browser tab (no auth).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t xml:space="preserve">with body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http://localhost:5107/health/ready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when SQL Server is reachable. (Stop the SQL service briefly → returns</w:t>
            </w:r>
            <w:r>
              <w:t xml:space="preserve"> </w:t>
            </w:r>
            <w:r>
              <w:rPr>
                <w:rStyle w:val="VerbatimChar"/>
              </w:rPr>
              <w:t xml:space="preserve">503 Unhealthy</w:t>
            </w:r>
            <w:r>
              <w:t xml:space="preserve">. Restart the service → back to 200.)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(aggregate of all checks).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HLT-04</w:t>
            </w:r>
          </w:p>
        </w:tc>
        <w:tc>
          <w:tcPr/>
          <w:p>
            <w:pPr>
              <w:pStyle w:val="Compact"/>
            </w:pPr>
            <w:r>
              <w:t xml:space="preserve">All three endpoints work without an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— orchestrator probes don't carry tokens, so a 401 here would soft-kill a healthy pod.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6"/>
    <w:bookmarkEnd w:id="147"/>
    <w:bookmarkStart w:id="150" w:name="api-versioning"/>
    <w:p>
      <w:pPr>
        <w:pStyle w:val="Heading2"/>
      </w:pPr>
      <w:r>
        <w:t xml:space="preserve">API versioning</w:t>
      </w:r>
    </w:p>
    <w:bookmarkStart w:id="148" w:name="what-youre-testing-23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WebApi declares</w:t>
      </w:r>
      <w:r>
        <w:t xml:space="preserve"> </w:t>
      </w:r>
      <w:r>
        <w:rPr>
          <w:b/>
          <w:bCs/>
        </w:rPr>
        <w:t xml:space="preserve">v1.0</w:t>
      </w:r>
      <w:r>
        <w:t xml:space="preserve"> </w:t>
      </w:r>
      <w:r>
        <w:t xml:space="preserve">as its default API version via</w:t>
      </w:r>
      <w:r>
        <w:t xml:space="preserve"> </w:t>
      </w:r>
      <w:r>
        <w:rPr>
          <w:rStyle w:val="VerbatimChar"/>
        </w:rPr>
        <w:t xml:space="preserve">Asp.Versioning.Mvc</w:t>
      </w:r>
      <w:r>
        <w:t xml:space="preserve">. Existing clients (Blazor, scripts) keep</w:t>
      </w:r>
      <w:r>
        <w:t xml:space="preserve"> </w:t>
      </w:r>
      <w:r>
        <w:t xml:space="preserve">working unchanged because</w:t>
      </w:r>
      <w:r>
        <w:t xml:space="preserve"> </w:t>
      </w:r>
      <w:r>
        <w:rPr>
          <w:rStyle w:val="VerbatimChar"/>
        </w:rPr>
        <w:t xml:space="preserve">AssumeDefaultVersionWhenUnspecified</w:t>
      </w:r>
      <w:r>
        <w:t xml:space="preserve"> </w:t>
      </w:r>
      <w:r>
        <w:t xml:space="preserve">is on. Explicit version selection is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query string 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header. The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 on every versioned</w:t>
      </w:r>
      <w:r>
        <w:t xml:space="preserve"> </w:t>
      </w:r>
      <w:r>
        <w:t xml:space="preserve">endpoint advertises what's accepted — useful for a future v2.</w:t>
      </w:r>
    </w:p>
    <w:p>
      <w:pPr>
        <w:pStyle w:val="BodyText"/>
      </w:pPr>
      <w:r>
        <w:t xml:space="preserve">The path-prefix change (</w:t>
      </w:r>
      <w:r>
        <w:rPr>
          <w:rStyle w:val="VerbatimChar"/>
        </w:rPr>
        <w:t xml:space="preserve">/v1/...</w:t>
      </w:r>
      <w:r>
        <w:t xml:space="preserve"> </w:t>
      </w:r>
      <w:r>
        <w:t xml:space="preserve">URLs) is deliberately deferred</w:t>
      </w:r>
      <w:r>
        <w:t xml:space="preserve"> </w:t>
      </w:r>
      <w:r>
        <w:t xml:space="preserve">until v2 actually arrives — the wire-breaking churn isn't worth</w:t>
      </w:r>
      <w:r>
        <w:t xml:space="preserve"> </w:t>
      </w:r>
      <w:r>
        <w:t xml:space="preserve">it while v1 is the only shipping version.</w:t>
      </w:r>
    </w:p>
    <w:bookmarkEnd w:id="148"/>
    <w:bookmarkStart w:id="149" w:name="tests-8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VER-01</w:t>
            </w:r>
          </w:p>
        </w:tc>
        <w:tc>
          <w:tcPr/>
          <w:p>
            <w:pPr>
              <w:pStyle w:val="Compact"/>
            </w:pPr>
            <w:r>
              <w:t xml:space="preserve">The Blazor pages still load with no client-side changes (the default-version-when-unspecified path). Sign in, browse PERMIAN → Jobs → Wells → any well's surveys. No 400 / 4xx from the WebApi.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hit any controller endpoint (e.g.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). Inspect the response headers — an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 lists the accepted version (</w:t>
            </w:r>
            <w:r>
              <w:rPr>
                <w:rStyle w:val="VerbatimChar"/>
              </w:rPr>
              <w:t xml:space="preserve">1.0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http://localhost:5107/health/live?api-version=1.0</w:t>
            </w:r>
            <w:r>
              <w:t xml:space="preserve"> </w:t>
            </w:r>
            <w:r>
              <w:t xml:space="preserve">— returns 200 OK. Confirms the query-string version reader.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9"/>
    <w:bookmarkEnd w:id="150"/>
    <w:bookmarkStart w:id="153" w:name="pagination-surveys-wire-shape"/>
    <w:p>
      <w:pPr>
        <w:pStyle w:val="Heading2"/>
      </w:pPr>
      <w:r>
        <w:t xml:space="preserve">Pagination (Surveys wire shape)</w:t>
      </w:r>
    </w:p>
    <w:bookmarkStart w:id="151" w:name="what-youre-testing-24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Surveys list endpoint now returns</w:t>
      </w:r>
      <w:r>
        <w:t xml:space="preserve"> </w:t>
      </w:r>
      <w:r>
        <w:rPr>
          <w:rStyle w:val="VerbatimChar"/>
        </w:rPr>
        <w:t xml:space="preserve">PagedResult&lt;SurveySummaryDto&gt;</w:t>
      </w:r>
      <w:r>
        <w:t xml:space="preserve"> </w:t>
      </w:r>
      <w:r>
        <w:t xml:space="preserve">rather than a bare array. Default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covers any single-well dataset we've measured; the</w:t>
      </w:r>
      <w:r>
        <w:t xml:space="preserve"> </w:t>
      </w:r>
      <w:r>
        <w:t xml:space="preserve">hard ceiling is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so a runaway client query string can't</w:t>
      </w:r>
      <w:r>
        <w:t xml:space="preserve"> </w:t>
      </w:r>
      <w:r>
        <w:t xml:space="preserve">dump tens of thousands of rows. The Blazor Surveys grid reads</w:t>
      </w:r>
      <w:r>
        <w:t xml:space="preserve"> </w:t>
      </w:r>
      <w:r>
        <w:rPr>
          <w:rStyle w:val="VerbatimChar"/>
        </w:rPr>
        <w:t xml:space="preserve">.Items</w:t>
      </w:r>
      <w:r>
        <w:t xml:space="preserve"> </w:t>
      </w:r>
      <w:r>
        <w:t xml:space="preserve">and falls through with an in-page hint when truncated.</w:t>
      </w:r>
    </w:p>
    <w:p>
      <w:pPr>
        <w:pStyle w:val="BodyText"/>
      </w:pPr>
      <w:r>
        <w:t xml:space="preserve">Other tenant-DB lists (Wells, Jobs, Tubulars, Formations,</w:t>
      </w:r>
      <w:r>
        <w:t xml:space="preserve"> </w:t>
      </w:r>
      <w:r>
        <w:t xml:space="preserve">Common Measures) are bounded by drilling semantics — typical</w:t>
      </w:r>
      <w:r>
        <w:t xml:space="preserve"> </w:t>
      </w:r>
      <w:r>
        <w:t xml:space="preserve">counts in dozens, not thousands — and stay on the existing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 </w:t>
      </w:r>
      <w:r>
        <w:t xml:space="preserve">shape.</w:t>
      </w:r>
    </w:p>
    <w:bookmarkEnd w:id="151"/>
    <w:bookmarkStart w:id="152" w:name="tests-9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PAG-01</w:t>
            </w:r>
          </w:p>
        </w:tc>
        <w:tc>
          <w:tcPr/>
          <w:p>
            <w:pPr>
              <w:pStyle w:val="Compact"/>
            </w:pPr>
            <w:r>
              <w:t xml:space="preserve">Open any well's Surveys grid. The grid renders normally; the Stations stat tile shows the same count as before. (No visible UX change for normal-volume wells.)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look at the GET response for</w:t>
            </w:r>
            <w:r>
              <w:t xml:space="preserve"> </w:t>
            </w:r>
            <w:r>
              <w:rPr>
                <w:rStyle w:val="VerbatimChar"/>
              </w:rPr>
              <w:t xml:space="preserve">/tenants/.../wells/{id}/surveys</w:t>
            </w:r>
            <w:r>
              <w:t xml:space="preserve">. The JSON body has the shape</w:t>
            </w:r>
            <w:r>
              <w:t xml:space="preserve"> </w:t>
            </w:r>
            <w:r>
              <w:rPr>
                <w:rStyle w:val="VerbatimChar"/>
              </w:rPr>
              <w:t xml:space="preserve">{ items: [...], total: N, skip: 0, take: 2000, hasMore: false }</w:t>
            </w:r>
            <w:r>
              <w:t xml:space="preserve">. Items are an array of survey rows; total matches the well's actual station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PAG-03</w:t>
            </w:r>
          </w:p>
        </w:tc>
        <w:tc>
          <w:tcPr/>
          <w:p>
            <w:pPr>
              <w:pStyle w:val="Compact"/>
            </w:pPr>
            <w:r>
              <w:t xml:space="preserve">Hit the same endpoint with</w:t>
            </w:r>
            <w:r>
              <w:t xml:space="preserve"> </w:t>
            </w:r>
            <w:r>
              <w:rPr>
                <w:rStyle w:val="VerbatimChar"/>
              </w:rPr>
              <w:t xml:space="preserve">?take=5</w:t>
            </w:r>
            <w:r>
              <w:t xml:space="preserve"> </w:t>
            </w:r>
            <w:r>
              <w:t xml:space="preserve">— the response has 5 items,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 </w:t>
            </w:r>
            <w:r>
              <w:t xml:space="preserve">is unchanged (it reflects the underlying count, not the page), and</w:t>
            </w:r>
            <w:r>
              <w:t xml:space="preserve"> </w:t>
            </w:r>
            <w:r>
              <w:rPr>
                <w:rStyle w:val="VerbatimChar"/>
              </w:rPr>
              <w:t xml:space="preserve">hasMore: true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PAG-04</w:t>
            </w:r>
          </w:p>
        </w:tc>
        <w:tc>
          <w:tcPr/>
          <w:p>
            <w:pPr>
              <w:pStyle w:val="Compact"/>
            </w:pPr>
            <w:r>
              <w:t xml:space="preserve">Hit with</w:t>
            </w:r>
            <w:r>
              <w:t xml:space="preserve"> </w:t>
            </w:r>
            <w:r>
              <w:rPr>
                <w:rStyle w:val="VerbatimChar"/>
              </w:rPr>
              <w:t xml:space="preserve">?take=99999</w:t>
            </w:r>
            <w:r>
              <w:t xml:space="preserve"> </w:t>
            </w:r>
            <w:r>
              <w:t xml:space="preserve">— the server clamps to 5000 (</w:t>
            </w:r>
            <w:r>
              <w:rPr>
                <w:rStyle w:val="VerbatimChar"/>
              </w:rPr>
              <w:t xml:space="preserve">take: 5000</w:t>
            </w:r>
            <w:r>
              <w:t xml:space="preserve"> </w:t>
            </w:r>
            <w:r>
              <w:t xml:space="preserve">in the response) rather than honouring the runaway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2"/>
    <w:bookmarkEnd w:id="153"/>
    <w:bookmarkStart w:id="154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 "does it feel responsive?"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4"/>
    <w:bookmarkEnd w:id="155"/>
    <w:bookmarkStart w:id="167" w:name="X75efe8ae0672323c4439a08946eaa80722c7b5c"/>
    <w:p>
      <w:pPr>
        <w:pStyle w:val="Heading1"/>
      </w:pPr>
      <w:r>
        <w:t xml:space="preserve">27.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doesn't match,</w:t>
      </w:r>
      <w:r>
        <w:t xml:space="preserve"> </w:t>
      </w:r>
      <w:r>
        <w:t xml:space="preserve">escalate before assuming the test passes.</w:t>
      </w:r>
    </w:p>
    <w:bookmarkStart w:id="156" w:name="Xd4736d874804a39ff31893c1adfe8d0c56be00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56"/>
    <w:bookmarkStart w:id="157" w:name="X63e016f28c31edbd3aff9f00841b96e7e326ae6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57"/>
    <w:bookmarkStart w:id="158" w:name="Xb355a234a041f2ce5196f3d10d146f71970a756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58"/>
    <w:bookmarkStart w:id="159" w:name="X1f6dd1c7c108e919f7144df5b107e616ba6b9d8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59"/>
    <w:bookmarkStart w:id="160" w:name="X77c5386cf5483718086eb8cf8bf18dbdeacc949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isn't being seeded.</w:t>
      </w:r>
    </w:p>
    <w:bookmarkEnd w:id="160"/>
    <w:bookmarkStart w:id="161" w:name="plot-20-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33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61"/>
    <w:bookmarkStart w:id="162" w:name="ac-01-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34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34"/>
        </w:numPr>
      </w:pPr>
      <w:r>
        <w:t xml:space="preserve">The clock-position is consistently around 6 o'clock (injector</w:t>
      </w:r>
      <w:r>
        <w:t xml:space="preserve"> </w:t>
      </w:r>
      <w:r>
        <w:t xml:space="preserve">is below producer in this pair) or 12 o'clock — a single,</w:t>
      </w:r>
      <w:r>
        <w:t xml:space="preserve"> </w:t>
      </w:r>
      <w:r>
        <w:t xml:space="preserve">stable direction; not rotating.</w:t>
      </w:r>
    </w:p>
    <w:bookmarkEnd w:id="162"/>
    <w:bookmarkStart w:id="163" w:name="ac-02-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35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aren't</w:t>
      </w:r>
      <w:r>
        <w:t xml:space="preserve"> </w:t>
      </w:r>
      <w:r>
        <w:t xml:space="preserve">converging on the runaway.</w:t>
      </w:r>
    </w:p>
    <w:bookmarkEnd w:id="163"/>
    <w:bookmarkStart w:id="164" w:name="sur-15-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36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37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37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37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36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64"/>
    <w:bookmarkStart w:id="165" w:name="X1ba283a84e22c1460943e8869fe1e7ad5fd124c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65"/>
    <w:bookmarkStart w:id="166" w:name="X0dd465696603a97ea0ce97305f32fa4ca5c39ff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39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39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66"/>
    <w:bookmarkEnd w:id="167"/>
    <w:bookmarkStart w:id="168" w:name="X9ea7148387c7bdf8908c9821bcb24fa6d997ed0"/>
    <w:p>
      <w:pPr>
        <w:pStyle w:val="Heading1"/>
      </w:pPr>
      <w:r>
        <w:t xml:space="preserve">28.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40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 "Doesn't work" isn't</w:t>
      </w:r>
      <w:r>
        <w:t xml:space="preserve"> </w:t>
      </w:r>
      <w:r>
        <w:t xml:space="preserve">useful; "clicked Activate, page went to /not-found"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41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41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41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aren't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68"/>
    <w:bookmarkStart w:id="169" w:name="X3918352be7a4a7d85efc00f0681452e13967314"/>
    <w:p>
      <w:pPr>
        <w:pStyle w:val="Heading1"/>
      </w:pPr>
      <w:r>
        <w:t xml:space="preserve">29.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isn't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doesn't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  <w:r>
        <w:t xml:space="preserve"> </w:t>
      </w:r>
      <w:r>
        <w:t xml:space="preserve">The newer</w:t>
      </w:r>
      <w:r>
        <w:t xml:space="preserve"> </w:t>
      </w:r>
      <w:r>
        <w:rPr>
          <w:b/>
          <w:bCs/>
        </w:rPr>
        <w:t xml:space="preserve">Audit log</w:t>
      </w:r>
      <w:r>
        <w:t xml:space="preserve"> </w:t>
      </w:r>
      <w:r>
        <w:t xml:space="preserve">is the per-row change history table</w:t>
      </w:r>
      <w:r>
        <w:t xml:space="preserve"> </w:t>
      </w:r>
      <w:r>
        <w:t xml:space="preserve">(see below); audit columns are the lighter "last edit" stamp.</w:t>
      </w:r>
    </w:p>
    <w:p>
      <w:pPr>
        <w:pStyle w:val="BodyText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append-only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populated by</w:t>
      </w:r>
      <w:r>
        <w:t xml:space="preserve"> </w:t>
      </w:r>
      <w:r>
        <w:rPr>
          <w:rStyle w:val="VerbatimChar"/>
        </w:rPr>
        <w:t xml:space="preserve">TenantDbContext.SaveChangesAsync</w:t>
      </w:r>
      <w:r>
        <w:t xml:space="preserve"> </w:t>
      </w:r>
      <w:r>
        <w:t xml:space="preserve">for every IAuditable insert /</w:t>
      </w:r>
      <w:r>
        <w:t xml:space="preserve"> </w:t>
      </w:r>
      <w:r>
        <w:t xml:space="preserve">update / delete. Each row carries entity type + id, action,</w:t>
      </w:r>
      <w:r>
        <w:t xml:space="preserve"> </w:t>
      </w:r>
      <w:r>
        <w:t xml:space="preserve">JSON snapshots before / after, and the actor + timestamp. Read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; surfaced on detail pages via</w:t>
      </w:r>
      <w:r>
        <w:t xml:space="preserve"> </w:t>
      </w:r>
      <w:r>
        <w:t xml:space="preserve">the "Recent changes" tile.</w:t>
      </w:r>
    </w:p>
    <w:p>
      <w:pPr>
        <w:pStyle w:val="BodyText"/>
      </w:pPr>
      <w:r>
        <w:rPr>
          <w:b/>
          <w:bCs/>
        </w:rPr>
        <w:t xml:space="preserve">Archived (well)</w:t>
      </w:r>
      <w:r>
        <w:t xml:space="preserve"> </w:t>
      </w:r>
      <w:r>
        <w:t xml:space="preserve">— soft-delete state for a Well. Setting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hides the row from default reads (via the EF</w:t>
      </w:r>
      <w:r>
        <w:t xml:space="preserve"> </w:t>
      </w:r>
      <w:r>
        <w:t xml:space="preserve">global query filter) without removing it. Restorable via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. The previous "hard DELETE with</w:t>
      </w:r>
      <w:r>
        <w:t xml:space="preserve"> </w:t>
      </w:r>
      <w:r>
        <w:t xml:space="preserve">409 on children" semantic was replaced — soft-archive is</w:t>
      </w:r>
      <w:r>
        <w:t xml:space="preserve"> </w:t>
      </w:r>
      <w:r>
        <w:t xml:space="preserve">non-destructive, so child rows remain.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well's trajectory</w:t>
      </w:r>
      <w:r>
        <w:t xml:space="preserve"> </w:t>
      </w:r>
      <w:r>
        <w:t xml:space="preserve">that fires after every Survey or Tie-on mutation. Driven by Marduk's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 "hard dogleg" 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earth's grid (e.g. 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PERMIAN's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Earth's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OpenTelemetry (OTel)</w:t>
      </w:r>
      <w:r>
        <w:t xml:space="preserve"> </w:t>
      </w:r>
      <w:r>
        <w:t xml:space="preserve">— vendor-neutral observability framework.</w:t>
      </w:r>
      <w:r>
        <w:t xml:space="preserve"> </w:t>
      </w:r>
      <w:r>
        <w:t xml:space="preserve">Enki's WebApi emits traces for every HTTP request + outbound HTTP</w:t>
      </w:r>
      <w:r>
        <w:t xml:space="preserve"> </w:t>
      </w:r>
      <w:r>
        <w:t xml:space="preserve">call + SQL query, plus runtime / process / GC metrics. Default</w:t>
      </w:r>
      <w:r>
        <w:t xml:space="preserve"> </w:t>
      </w:r>
      <w:r>
        <w:t xml:space="preserve">exporter is the console writer in dev; production deployments swap</w:t>
      </w:r>
      <w:r>
        <w:t xml:space="preserve"> </w:t>
      </w:r>
      <w:r>
        <w:t xml:space="preserve">in an OTLP exporter pointing at a real collector (Tempo / Jaeger /</w:t>
      </w:r>
      <w:r>
        <w:t xml:space="preserve"> </w:t>
      </w:r>
      <w:r>
        <w:t xml:space="preserve">Datadog / etc.).</w:t>
      </w:r>
    </w:p>
    <w:p>
      <w:pPr>
        <w:pStyle w:val="BodyText"/>
      </w:pPr>
      <w:r>
        <w:rPr>
          <w:b/>
          <w:bCs/>
        </w:rPr>
        <w:t xml:space="preserve">Optimistic concurrency</w:t>
      </w:r>
      <w:r>
        <w:t xml:space="preserve"> </w:t>
      </w:r>
      <w:r>
        <w:t xml:space="preserve">— the design pattern where two clients</w:t>
      </w:r>
      <w:r>
        <w:t xml:space="preserve"> </w:t>
      </w:r>
      <w:r>
        <w:t xml:space="preserve">can both load a record at the same time, but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save</w:t>
      </w:r>
      <w:r>
        <w:t xml:space="preserve"> </w:t>
      </w:r>
      <w:r>
        <w:t xml:space="preserve">wins; the second client gets a 409 and is asked to reload. Enforced</w:t>
      </w:r>
      <w:r>
        <w:t xml:space="preserve"> </w:t>
      </w:r>
      <w:r>
        <w:t xml:space="preserve">in Enki via a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token round-tripped between the API and</w:t>
      </w:r>
      <w:r>
        <w:t xml:space="preserve"> </w:t>
      </w:r>
      <w:r>
        <w:t xml:space="preserve">the UI on every mutation. The alternative (pessimistic locking)</w:t>
      </w:r>
      <w:r>
        <w:t xml:space="preserve"> </w:t>
      </w:r>
      <w:r>
        <w:t xml:space="preserve">would hold a database lock for the duration of the user's edit</w:t>
      </w:r>
      <w:r>
        <w:t xml:space="preserve"> </w:t>
      </w:r>
      <w:r>
        <w:t xml:space="preserve">session — unworkable for a web UI where the "session" is whatever</w:t>
      </w:r>
      <w:r>
        <w:t xml:space="preserve"> </w:t>
      </w:r>
      <w:r>
        <w:t xml:space="preserve">time elapses between the page load and the save click.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PERMIAN's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Readiness probe (</w:t>
      </w:r>
      <w:r>
        <w:rPr>
          <w:rStyle w:val="VerbatimChar"/>
          <w:b/>
          <w:bCs/>
        </w:rPr>
        <w:t xml:space="preserve">/health/ready</w:t>
      </w:r>
      <w:r>
        <w:rPr>
          <w:b/>
          <w:bCs/>
        </w:rPr>
        <w:t xml:space="preserve">)</w:t>
      </w:r>
      <w:r>
        <w:t xml:space="preserve"> </w:t>
      </w:r>
      <w:r>
        <w:t xml:space="preserve">— endpoint hit by load</w:t>
      </w:r>
      <w:r>
        <w:t xml:space="preserve"> </w:t>
      </w:r>
      <w:r>
        <w:t xml:space="preserve">balancers / k8s readinessProbe to decide whether to route</w:t>
      </w:r>
      <w:r>
        <w:t xml:space="preserve"> </w:t>
      </w:r>
      <w:r>
        <w:t xml:space="preserve">traffic. Runs the master-DB connectivity check;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the</w:t>
      </w:r>
      <w:r>
        <w:t xml:space="preserve"> </w:t>
      </w:r>
      <w:r>
        <w:t xml:space="preserve">DB is unreachable so the LB drains traffic instead of cycling</w:t>
      </w:r>
      <w:r>
        <w:t xml:space="preserve"> </w:t>
      </w:r>
      <w:r>
        <w:t xml:space="preserve">the pod. Distinct from the</w:t>
      </w:r>
      <w:r>
        <w:t xml:space="preserve"> </w:t>
      </w:r>
      <w:r>
        <w:rPr>
          <w:b/>
          <w:bCs/>
        </w:rPr>
        <w:t xml:space="preserve">liveness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) which is a constant-Healthy self-check with no</w:t>
      </w:r>
      <w:r>
        <w:t xml:space="preserve"> </w:t>
      </w:r>
      <w:r>
        <w:t xml:space="preserve">external deps — that's the one a livenessProbe should call.</w:t>
      </w:r>
    </w:p>
    <w:p>
      <w:pPr>
        <w:pStyle w:val="BodyText"/>
      </w:pPr>
      <w:r>
        <w:rPr>
          <w:b/>
          <w:bCs/>
        </w:rPr>
        <w:t xml:space="preserve">RowVersion</w:t>
      </w:r>
      <w:r>
        <w:t xml:space="preserve"> </w:t>
      </w:r>
      <w:r>
        <w:t xml:space="preserve">— an 8-byte token (SQL Server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column,</w:t>
      </w:r>
      <w:r>
        <w:t xml:space="preserve"> </w:t>
      </w:r>
      <w:r>
        <w:t xml:space="preserve">auto-incremented on every UPDATE) that the server uses to detect</w:t>
      </w:r>
      <w:r>
        <w:t xml:space="preserve"> </w:t>
      </w:r>
      <w:r>
        <w:t xml:space="preserve">concurrent edits. Wire format is base64 (12 ASCII characters). Sent</w:t>
      </w:r>
      <w:r>
        <w:t xml:space="preserve"> </w:t>
      </w:r>
      <w:r>
        <w:t xml:space="preserve">from server → client on every read; sent from client → server on</w:t>
      </w:r>
      <w:r>
        <w:t xml:space="preserve"> </w:t>
      </w:r>
      <w:r>
        <w:t xml:space="preserve">every save; the server's UPDATE includes a</w:t>
      </w:r>
      <w:r>
        <w:t xml:space="preserve"> </w:t>
      </w:r>
      <w:r>
        <w:rPr>
          <w:rStyle w:val="VerbatimChar"/>
        </w:rPr>
        <w:t xml:space="preserve">WHERE rowversion = @v</w:t>
      </w:r>
      <w:r>
        <w:t xml:space="preserve"> </w:t>
      </w:r>
      <w:r>
        <w:t xml:space="preserve">predicate so a stale token matches zero rows and the database</w:t>
      </w:r>
      <w:r>
        <w:t xml:space="preserve"> </w:t>
      </w:r>
      <w:r>
        <w:t xml:space="preserve">declines the write.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Job's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Marduk's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 "well" 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2026-04-28T14:52:43Z</dcterms:created>
  <dcterms:modified xsi:type="dcterms:W3CDTF">2026-04-28T14:52:43Z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