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User Interface Gating</w:t>
      </w:r>
    </w:p>
    <w:p>
      <w:pPr>
        <w:pStyle w:val="Subtitle"/>
      </w:pPr>
      <w:r>
        <w:t xml:space="preserve">Standard Operating Procedure</w:t>
      </w:r>
    </w:p>
    <w:p>
      <w:pPr>
        <w:pStyle w:val="Author"/>
      </w:pPr>
      <w:r>
        <w:t xml:space="preserve">SDI · KingOfTheGeeks</w:t>
      </w:r>
    </w:p>
    <w:p>
      <w:pPr>
        <w:pStyle w:val="Date"/>
      </w:pPr>
      <w:r>
        <w:t xml:space="preserve">2026-05-02</w:t>
      </w:r>
    </w:p>
    <w:bookmarkStart w:id="31" w:name="enki-user-interface-gating"/>
    <w:p>
      <w:pPr>
        <w:pStyle w:val="Heading1"/>
      </w:pPr>
      <w:r>
        <w:t xml:space="preserve">Enki — User Interface Gating</w:t>
      </w:r>
    </w:p>
    <w:p>
      <w:pPr>
        <w:pStyle w:val="FirstParagraph"/>
      </w:pPr>
      <w:r>
        <w:rPr>
          <w:b/>
          <w:bCs/>
        </w:rPr>
        <w:t xml:space="preserve">Standard Operating Procedure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number</w:t>
            </w:r>
          </w:p>
        </w:tc>
        <w:tc>
          <w:tcPr/>
          <w:p>
            <w:pPr>
              <w:pStyle w:val="Compact"/>
            </w:pPr>
            <w:r>
              <w:t xml:space="preserve">SDI-ENG-SOP-003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 (draft)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</w:pPr>
            <w:r>
              <w:t xml:space="preserve">Mike King — KingOfTheGeeks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Issuing organization</w:t>
            </w:r>
          </w:p>
        </w:tc>
        <w:tc>
          <w:tcPr/>
          <w:p>
            <w:pPr>
              <w:pStyle w:val="Compact"/>
            </w:pPr>
            <w:r>
              <w:t xml:space="preserve">SDI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— pending client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repo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https://github.com/KingOfTheGeeks/Enki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Related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01206c2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feat(authz): subtype + capability authorization with parametric policy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SOP</w:t>
            </w:r>
          </w:p>
        </w:tc>
        <w:tc>
          <w:tcPr/>
          <w:p>
            <w:pPr>
              <w:pStyle w:val="Compact"/>
            </w:pPr>
            <w:r>
              <w:t xml:space="preserve">SDI-ENG-SOP-002 (Authorization Redesign)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a.-purpose"/>
    <w:p>
      <w:pPr>
        <w:pStyle w:val="Heading2"/>
      </w:pPr>
      <w:r>
        <w:t xml:space="preserve">A. Purpose</w:t>
      </w:r>
    </w:p>
    <w:p>
      <w:pPr>
        <w:pStyle w:val="FirstParagraph"/>
      </w:pPr>
      <w:r>
        <w:t xml:space="preserve">This Standard Operating Procedure documents how the Enki user interface (BlazorServer host) adapts to each user’s role and permissions — what menus, buttons, and form controls each persona will see, and how the application responds when a user navigates to a page they are not authorized to view.</w:t>
      </w:r>
    </w:p>
    <w:p>
      <w:pPr>
        <w:pStyle w:val="BodyText"/>
      </w:pPr>
      <w:r>
        <w:t xml:space="preserve">It is intended for client review of the user-interface behavior changes being introduced alongside the authorization redesign (SDI-ENG-SOP-002). It is the authoritative reference for</w:t>
      </w:r>
      <w:r>
        <w:t xml:space="preserve"> </w:t>
      </w:r>
      <w:r>
        <w:t xml:space="preserve">“what will my users see when they sign in?”</w:t>
      </w:r>
      <w:r>
        <w:t xml:space="preserve">.</w:t>
      </w:r>
    </w:p>
    <w:bookmarkEnd w:id="10"/>
    <w:bookmarkStart w:id="11" w:name="b.-scope"/>
    <w:p>
      <w:pPr>
        <w:pStyle w:val="Heading2"/>
      </w:pPr>
      <w:r>
        <w:t xml:space="preserve">B. Scope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every authorization-sensitive interface element in the BlazorServer web application — navigation menus, page-level access, action buttons that are gated, and the access-denied response when a user reaches a page their role does not permit.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field-side desktop tools (Esagila), the licensing-asset packaging tool (Nabu), any external integrations consuming Enki’s REST API, and the API-side permission enforcement (which is the security backstop for everything visible in this SOP and is documented in SDI-ENG-SOP-002).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SDI engineering, client end users, client administrators, training and onboarding personnel.</w:t>
      </w:r>
    </w:p>
    <w:bookmarkEnd w:id="11"/>
    <w:bookmarkStart w:id="12" w:name="c.-responsibilities"/>
    <w:p>
      <w:pPr>
        <w:pStyle w:val="Heading2"/>
      </w:pPr>
      <w:r>
        <w:t xml:space="preserve">C.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Validates that the navigation menu and admin pages render as documented for the admin persona; signs off the GUI gating contract.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operators (per persona)</w:t>
            </w:r>
          </w:p>
        </w:tc>
        <w:tc>
          <w:tcPr/>
          <w:p>
            <w:pPr>
              <w:pStyle w:val="Compact"/>
            </w:pPr>
            <w:r>
              <w:t xml:space="preserve">Sign in as each persona type (Field, Office, Supervisor, Tenant); confirm visible elements match this SOP.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onboarding</w:t>
            </w:r>
          </w:p>
        </w:tc>
        <w:tc>
          <w:tcPr/>
          <w:p>
            <w:pPr>
              <w:pStyle w:val="Compact"/>
            </w:pPr>
            <w:r>
              <w:t xml:space="preserve">Use this SOP as the basis for end-user training material.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6" w:name="d.-interface-gating-principles"/>
    <w:p>
      <w:pPr>
        <w:pStyle w:val="Heading2"/>
      </w:pPr>
      <w:r>
        <w:t xml:space="preserve">D. Interface gating principles</w:t>
      </w:r>
    </w:p>
    <w:p>
      <w:pPr>
        <w:pStyle w:val="FirstParagraph"/>
      </w:pPr>
      <w:r>
        <w:t xml:space="preserve">The Enki user interface follows three principles for permission-sensitive elements:</w:t>
      </w:r>
    </w:p>
    <w:bookmarkStart w:id="13" w:name="d.1-hide-dont-disable"/>
    <w:p>
      <w:pPr>
        <w:pStyle w:val="Heading3"/>
      </w:pPr>
      <w:r>
        <w:t xml:space="preserve">D.1 Hide, don’t disable</w:t>
      </w:r>
    </w:p>
    <w:p>
      <w:pPr>
        <w:pStyle w:val="FirstParagraph"/>
      </w:pPr>
      <w:r>
        <w:t xml:space="preserve">Controls a user can never use are</w:t>
      </w:r>
      <w:r>
        <w:t xml:space="preserve"> </w:t>
      </w:r>
      <w:r>
        <w:rPr>
          <w:b/>
          <w:bCs/>
        </w:rPr>
        <w:t xml:space="preserve">hidden from the interface entirely</w:t>
      </w:r>
      <w:r>
        <w:t xml:space="preserve">. Disabled-with-tooltip is reserved for cases where the action could be granted to the user but is currently blocked by some state (for example, a</w:t>
      </w:r>
      <w:r>
        <w:t xml:space="preserve"> </w:t>
      </w:r>
      <w:r>
        <w:t xml:space="preserve">“Delete”</w:t>
      </w:r>
      <w:r>
        <w:t xml:space="preserve"> </w:t>
      </w:r>
      <w:r>
        <w:t xml:space="preserve">button disabled because the row has dependent records).</w:t>
      </w:r>
    </w:p>
    <w:p>
      <w:pPr>
        <w:pStyle w:val="BodyText"/>
      </w:pPr>
      <w:r>
        <w:t xml:space="preserve">This keeps the interface uncluttered and avoids surfacing elements that imply the user could access them.</w:t>
      </w:r>
    </w:p>
    <w:bookmarkEnd w:id="13"/>
    <w:bookmarkStart w:id="14" w:name="X1ab8acceb7a6cb1358ea6358c76f8810f111c70"/>
    <w:p>
      <w:pPr>
        <w:pStyle w:val="Heading3"/>
      </w:pPr>
      <w:r>
        <w:t xml:space="preserve">D.2 The user interface is convenience; the API is the security backstop</w:t>
      </w:r>
    </w:p>
    <w:p>
      <w:pPr>
        <w:pStyle w:val="FirstParagraph"/>
      </w:pPr>
      <w:r>
        <w:t xml:space="preserve">Hidden buttons are a usability feature. The actual security enforcement happens at the API: a user who manually crafts a request to an endpoint they cannot access receives a clean refusal (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with an RFC 7807 problem-details body). The user interface and the API never disagree on the</w:t>
      </w:r>
      <w:r>
        <w:t xml:space="preserve"> </w:t>
      </w:r>
      <w:r>
        <w:rPr>
          <w:i/>
          <w:iCs/>
        </w:rPr>
        <w:t xml:space="preserve">audience</w:t>
      </w:r>
      <w:r>
        <w:t xml:space="preserve"> </w:t>
      </w:r>
      <w:r>
        <w:t xml:space="preserve">for an action — both reference the same authorization rules (the named policies documented in SDI-ENG-SOP-002 section I).</w:t>
      </w:r>
    </w:p>
    <w:p>
      <w:pPr>
        <w:pStyle w:val="BodyText"/>
      </w:pPr>
      <w:r>
        <w:t xml:space="preserve">In specific cases, the UI deliberately defers to the API backstop rather than gating in the page (see section E.4). This is a documented trade-off, not a defect.</w:t>
      </w:r>
    </w:p>
    <w:bookmarkEnd w:id="14"/>
    <w:bookmarkStart w:id="15" w:name="d.3-no-you-dont-have-permission-tooltips"/>
    <w:p>
      <w:pPr>
        <w:pStyle w:val="Heading3"/>
      </w:pPr>
      <w:r>
        <w:t xml:space="preserve">D.3 No</w:t>
      </w:r>
      <w:r>
        <w:t xml:space="preserve"> </w:t>
      </w:r>
      <w:r>
        <w:t xml:space="preserve">“you don’t have permission”</w:t>
      </w:r>
      <w:r>
        <w:t xml:space="preserve"> </w:t>
      </w:r>
      <w:r>
        <w:t xml:space="preserve">tooltips</w:t>
      </w:r>
    </w:p>
    <w:p>
      <w:pPr>
        <w:pStyle w:val="FirstParagraph"/>
      </w:pPr>
      <w:r>
        <w:t xml:space="preserve">Permission-related tooltips on every hidden element would clutter the interface and surface implementation details unnecessarily. The system trusts that users granted access to a function know how to use it. Pages that explicitly redirect users without permission go to the dedicated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page (section F).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e.-per-page-gating-inventory"/>
    <w:p>
      <w:pPr>
        <w:pStyle w:val="Heading2"/>
      </w:pPr>
      <w:r>
        <w:t xml:space="preserve">E. Per-page gating inventory</w:t>
      </w:r>
    </w:p>
    <w:p>
      <w:pPr>
        <w:pStyle w:val="FirstParagraph"/>
      </w:pPr>
      <w:r>
        <w:t xml:space="preserve">This section is the authoritative inventory of what is gated where. It distinguishes: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Page-level gate</w:t>
      </w:r>
      <w:r>
        <w:t xml:space="preserve"> </w:t>
      </w:r>
      <w:r>
        <w:t xml:space="preserve">— set via</w:t>
      </w:r>
      <w:r>
        <w:t xml:space="preserve"> </w:t>
      </w:r>
      <w:r>
        <w:rPr>
          <w:rStyle w:val="VerbatimChar"/>
        </w:rPr>
        <w:t xml:space="preserve">[Authorize(Policy = …)]</w:t>
      </w:r>
      <w:r>
        <w:t xml:space="preserve"> </w:t>
      </w:r>
      <w:r>
        <w:t xml:space="preserve">or a runtime</w:t>
      </w:r>
      <w:r>
        <w:t xml:space="preserve"> </w:t>
      </w:r>
      <w:r>
        <w:rPr>
          <w:rStyle w:val="VerbatimChar"/>
        </w:rPr>
        <w:t xml:space="preserve">OnInitializedAsync</w:t>
      </w:r>
      <w:r>
        <w:t xml:space="preserve"> </w:t>
      </w:r>
      <w:r>
        <w:t xml:space="preserve">redirect. A user without the permission cannot load the page.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Action-button gate</w:t>
      </w:r>
      <w:r>
        <w:t xml:space="preserve"> </w:t>
      </w:r>
      <w:r>
        <w:t xml:space="preserve">— set via an</w:t>
      </w:r>
      <w:r>
        <w:t xml:space="preserve"> </w:t>
      </w:r>
      <w:r>
        <w:rPr>
          <w:rStyle w:val="VerbatimChar"/>
        </w:rPr>
        <w:t xml:space="preserve">@if (capability)</w:t>
      </w:r>
      <w:r>
        <w:t xml:space="preserve"> </w:t>
      </w:r>
      <w:r>
        <w:t xml:space="preserve">wrapper around the button. A user without the permission can load the page but does not see the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Backstop only</w:t>
      </w:r>
      <w:r>
        <w:t xml:space="preserve"> </w:t>
      </w:r>
      <w:r>
        <w:t xml:space="preserve">— the page renders for any signed-in user; the button submits to an API endpoint that enforces the gate and returns 403 for unauthorized callers.</w:t>
      </w:r>
    </w:p>
    <w:bookmarkStart w:id="17" w:name="e.1-navigation-menu-sidebar"/>
    <w:p>
      <w:pPr>
        <w:pStyle w:val="Heading3"/>
      </w:pPr>
      <w:r>
        <w:t xml:space="preserve">E.1 Navigation menu (sidebar)</w:t>
      </w:r>
    </w:p>
    <w:p>
      <w:pPr>
        <w:pStyle w:val="FirstParagraph"/>
      </w:pPr>
      <w:r>
        <w:t xml:space="preserve">The sidebar groups items into five sections, ordered by audience reach: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Visible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Home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signed-in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Tenants</w:t>
            </w:r>
          </w:p>
        </w:tc>
        <w:tc>
          <w:tcPr/>
          <w:p>
            <w:pPr>
              <w:pStyle w:val="Compact"/>
            </w:pPr>
            <w:r>
              <w:t xml:space="preserve">All Tenants (</w:t>
            </w:r>
            <w:r>
              <w:rPr>
                <w:rStyle w:val="VerbatimChar"/>
              </w:rPr>
              <w:t xml:space="preserve">/tenants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signed-in Team user;</w:t>
            </w:r>
            <w:r>
              <w:t xml:space="preserve"> </w:t>
            </w:r>
            <w:r>
              <w:rPr>
                <w:b/>
                <w:bCs/>
              </w:rPr>
              <w:t xml:space="preserve">hidden</w:t>
            </w:r>
            <w:r>
              <w:t xml:space="preserve"> </w:t>
            </w:r>
            <w:r>
              <w:t xml:space="preserve">for Tenant-type users.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Tenants (contextual)</w:t>
            </w:r>
          </w:p>
        </w:tc>
        <w:tc>
          <w:tcPr/>
          <w:p>
            <w:pPr>
              <w:pStyle w:val="Compact"/>
            </w:pPr>
            <w:r>
              <w:t xml:space="preserve">Overview, Jobs, Wells, Runs, Members, Audit (under</w:t>
            </w:r>
            <w:r>
              <w:t xml:space="preserve"> </w:t>
            </w:r>
            <w:r>
              <w:rPr>
                <w:rStyle w:val="VerbatimChar"/>
              </w:rPr>
              <w:t xml:space="preserve">/tenants/{code}/…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Appears when a tenant is in URL scope. The contextual</w:t>
            </w:r>
            <w:r>
              <w:t xml:space="preserve"> </w:t>
            </w:r>
            <w:r>
              <w:rPr>
                <w:i/>
                <w:iCs/>
              </w:rPr>
              <w:t xml:space="preserve">Members</w:t>
            </w:r>
            <w:r>
              <w:t xml:space="preserve"> </w:t>
            </w:r>
            <w:r>
              <w:t xml:space="preserve">sub-link is gated by an async</w:t>
            </w:r>
            <w:r>
              <w:t xml:space="preserve"> </w:t>
            </w:r>
            <w:r>
              <w:rPr>
                <w:rStyle w:val="VerbatimChar"/>
              </w:rPr>
              <w:t xml:space="preserve">CanManageTenantMembersAsync({code})</w:t>
            </w:r>
            <w:r>
              <w:t xml:space="preserve"> </w:t>
            </w:r>
            <w:r>
              <w:t xml:space="preserve">probe; it appears only for Supervisors / admins / users who have membership-management on that tenant.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</w:t>
            </w:r>
          </w:p>
        </w:tc>
        <w:tc>
          <w:tcPr/>
          <w:p>
            <w:pPr>
              <w:pStyle w:val="Compact"/>
            </w:pPr>
            <w:r>
              <w:t xml:space="preserve">Tools (</w:t>
            </w:r>
            <w:r>
              <w:rPr>
                <w:rStyle w:val="VerbatimChar"/>
              </w:rPr>
              <w:t xml:space="preserve">/tools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signed-in Team user. Tenant users currently see this entry; they have read access to the Tools registry but no action buttons render for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Licensing</w:t>
            </w:r>
          </w:p>
        </w:tc>
        <w:tc>
          <w:tcPr/>
          <w:p>
            <w:pPr>
              <w:pStyle w:val="Compact"/>
            </w:pPr>
            <w:r>
              <w:t xml:space="preserve">Licenses (</w:t>
            </w:r>
            <w:r>
              <w:rPr>
                <w:rStyle w:val="VerbatimChar"/>
              </w:rPr>
              <w:t xml:space="preserve">/licenses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Visible only when</w:t>
            </w:r>
            <w:r>
              <w:t xml:space="preserve"> </w:t>
            </w:r>
            <w:r>
              <w:rPr>
                <w:rStyle w:val="VerbatimChar"/>
              </w:rPr>
              <w:t xml:space="preserve">CanManageLicensing</w:t>
            </w:r>
            <w:r>
              <w:t xml:space="preserve"> </w:t>
            </w:r>
            <w:r>
              <w:t xml:space="preserve">is satisfied: Supervisor+, admin, or holder of the</w:t>
            </w:r>
            <w:r>
              <w:t xml:space="preserve"> </w:t>
            </w:r>
            <w:r>
              <w:rPr>
                <w:rStyle w:val="VerbatimChar"/>
              </w:rPr>
              <w:t xml:space="preserve">Licensing</w:t>
            </w:r>
            <w:r>
              <w:t xml:space="preserve"> </w:t>
            </w:r>
            <w:r>
              <w:t xml:space="preserve">capability claim. Lives in its own group (rather than under SYSTEM) because the audience is broader than admin-only.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Users (</w:t>
            </w:r>
            <w:r>
              <w:rPr>
                <w:rStyle w:val="VerbatimChar"/>
              </w:rPr>
              <w:t xml:space="preserve">/admin/users</w:t>
            </w:r>
            <w:r>
              <w:t xml:space="preserve">), Settings (</w:t>
            </w:r>
            <w:r>
              <w:rPr>
                <w:rStyle w:val="VerbatimChar"/>
              </w:rPr>
              <w:t xml:space="preserve">/admin/settings</w:t>
            </w:r>
            <w:r>
              <w:t xml:space="preserve">), Audit (</w:t>
            </w:r>
            <w:r>
              <w:rPr>
                <w:rStyle w:val="VerbatimChar"/>
              </w:rPr>
              <w:t xml:space="preserve">/admin/audit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Whole group hidden for non-admins via</w:t>
            </w:r>
            <w:r>
              <w:t xml:space="preserve"> </w:t>
            </w:r>
            <w:r>
              <w:rPr>
                <w:rStyle w:val="VerbatimChar"/>
              </w:rPr>
              <w:t xml:space="preserve">&lt;AuthorizeView Roles="enki-admin"&gt;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contextual sub-tree (Jobs &gt; Wells / Runs &gt; drill-in markers) populates only when a tenant is in URL scope. The Models drill-in is reserved in the parser but not yet rendered (commented out pending the Models pages landing in a future release).</w:t>
      </w:r>
    </w:p>
    <w:bookmarkEnd w:id="17"/>
    <w:bookmarkStart w:id="18" w:name="e.2-admin-pages-the-system-group"/>
    <w:p>
      <w:pPr>
        <w:pStyle w:val="Heading3"/>
      </w:pPr>
      <w:r>
        <w:t xml:space="preserve">E.2 Admin pages (the SYSTEM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Page-level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EnkiAdminOnly</w:t>
            </w:r>
          </w:p>
        </w:tc>
        <w:tc>
          <w:tcPr/>
          <w:p>
            <w:pPr>
              <w:pStyle w:val="Compact"/>
            </w:pPr>
            <w:r>
              <w:t xml:space="preserve">Lists every user in the system. The list dumps both Team and Tenant users, hence admin-only.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EnkiAdminOnly</w:t>
            </w:r>
          </w:p>
        </w:tc>
        <w:tc>
          <w:tcPr/>
          <w:p>
            <w:pPr>
              <w:pStyle w:val="Compact"/>
            </w:pPr>
            <w:r>
              <w:t xml:space="preserve">Office-tier creation of Tenant-type users is planned to surface through the tenant-members workflow rather than this admin page. The Team-radio hide logic in the page is defensive — it is dead code today but correct ahead of any future widening of the page-level policy.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EnkiAdminOnly</w:t>
            </w:r>
          </w:p>
        </w:tc>
        <w:tc>
          <w:tcPr/>
          <w:p>
            <w:pPr>
              <w:pStyle w:val="Compact"/>
            </w:pPr>
            <w:r>
              <w:t xml:space="preserve">All actions (Edit profile, Reset password, Lock/Unlock, Change session lifetime, Grant/Revoke admin, Capability checkboxes) render unconditionally on the assumption the caller is admin. The per-target authorization rules documented in SDI-ENG-SOP-002 (Office may manage Tenant-type users at the API level) are enforced only through the future tenant-members surface, not on this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EnkiAdminOnly</w:t>
            </w:r>
          </w:p>
        </w:tc>
        <w:tc>
          <w:tcPr/>
          <w:p>
            <w:pPr>
              <w:pStyle w:val="Compact"/>
            </w:pPr>
            <w:r>
              <w:t xml:space="preserve">System-level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/admin/audit</w:t>
            </w:r>
            <w:r>
              <w:t xml:space="preserve"> </w:t>
            </w:r>
            <w:r>
              <w:t xml:space="preserve">(and child pages: master, identity, auth-events, entity drill-ins)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EnkiAdminOnly</w:t>
            </w:r>
          </w:p>
        </w:tc>
        <w:tc>
          <w:tcPr/>
          <w:p>
            <w:pPr>
              <w:pStyle w:val="Compact"/>
            </w:pPr>
            <w:r>
              <w:t xml:space="preserve">Cross-tenant audit feed. The per-tenant audit at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/tenants/{code}/audit</w:t>
            </w:r>
            <w:r>
              <w:t xml:space="preserve"> </w:t>
            </w:r>
            <w:r>
              <w:t xml:space="preserve">is separately accessible to tenant members.</w:t>
            </w:r>
          </w:p>
        </w:tc>
      </w:tr>
    </w:tbl>
    <w:bookmarkEnd w:id="18"/>
    <w:bookmarkStart w:id="19" w:name="e.3-master-cross-tenant-pages"/>
    <w:p>
      <w:pPr>
        <w:pStyle w:val="Heading3"/>
      </w:pPr>
      <w:r>
        <w:t xml:space="preserve">E.3 Master / cross-tenant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Page-level gate</w:t>
            </w:r>
          </w:p>
        </w:tc>
        <w:tc>
          <w:tcPr/>
          <w:p>
            <w:pPr>
              <w:pStyle w:val="Compact"/>
            </w:pPr>
            <w:r>
              <w:t xml:space="preserve">Action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Provision tenant</w:t>
            </w:r>
            <w:r>
              <w:t xml:space="preserve"> </w:t>
            </w:r>
            <w:r>
              <w:t xml:space="preserve">button gated by</w:t>
            </w:r>
            <w:r>
              <w:t xml:space="preserve"> </w:t>
            </w:r>
            <w:r>
              <w:rPr>
                <w:rStyle w:val="VerbatimChar"/>
              </w:rPr>
              <w:t xml:space="preserve">CanProvisionTenants</w:t>
            </w:r>
            <w:r>
              <w:t xml:space="preserve">. There are no per-row action buttons on this page; lifecycle and edit live on the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CanProvisionTenants</w:t>
            </w:r>
          </w:p>
        </w:tc>
        <w:tc>
          <w:tcPr/>
          <w:p>
            <w:pPr>
              <w:pStyle w:val="Compact"/>
            </w:pPr>
            <w:r>
              <w:t xml:space="preserve">Form-only; no nested gates.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Lifecycle buttons (Deactivate/Reactivate) gated by</w:t>
            </w:r>
            <w:r>
              <w:t xml:space="preserve"> </w:t>
            </w:r>
            <w:r>
              <w:rPr>
                <w:rStyle w:val="VerbatimChar"/>
              </w:rPr>
              <w:t xml:space="preserve">CanManageTenantLifecycle</w:t>
            </w:r>
            <w:r>
              <w:t xml:space="preserve">; Edit gated by</w:t>
            </w:r>
            <w:r>
              <w:t xml:space="preserve"> </w:t>
            </w:r>
            <w:r>
              <w:rPr>
                <w:rStyle w:val="VerbatimChar"/>
              </w:rPr>
              <w:t xml:space="preserve">CanWriteMasterContent</w:t>
            </w:r>
            <w:r>
              <w:t xml:space="preserve">; Members link gated by an async</w:t>
            </w:r>
            <w:r>
              <w:t xml:space="preserve"> </w:t>
            </w:r>
            <w:r>
              <w:rPr>
                <w:rStyle w:val="VerbatimChar"/>
              </w:rPr>
              <w:t xml:space="preserve">CanManageTenantMembersAsync({code})</w:t>
            </w:r>
            <w:r>
              <w:t xml:space="preserve"> </w:t>
            </w:r>
            <w:r>
              <w:t xml:space="preserve">probe with the answer cached for the page lifetime. There is no Archive button — Archive is a terminal status reachable only via direct DB action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CanWriteMasterContent</w:t>
            </w:r>
          </w:p>
        </w:tc>
        <w:tc>
          <w:tcPr/>
          <w:p>
            <w:pPr>
              <w:pStyle w:val="Compact"/>
            </w:pPr>
            <w:r>
              <w:t xml:space="preserve">Form-only; no nested gates.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OnInitializedAsync</w:t>
            </w:r>
            <w:r>
              <w:t xml:space="preserve"> </w:t>
            </w:r>
            <w:r>
              <w:t xml:space="preserve">redirect to</w:t>
            </w:r>
            <w:r>
              <w:t xml:space="preserve"> </w:t>
            </w:r>
            <w:r>
              <w:rPr>
                <w:rStyle w:val="VerbatimChar"/>
              </w:rPr>
              <w:t xml:space="preserve">/forbidden?required=Supervisor&amp;resource=Members+%2F+{code}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CanManageTenantMembersAsync({code})</w:t>
            </w:r>
            <w:r>
              <w:t xml:space="preserve"> </w:t>
            </w:r>
            <w:r>
              <w:t xml:space="preserve">is false. Member list and add/remove buttons render unconditionally inside the page; the page-level redirect is the gate.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New tool</w:t>
            </w:r>
            <w:r>
              <w:t xml:space="preserve"> </w:t>
            </w:r>
            <w:r>
              <w:t xml:space="preserve">gated by</w:t>
            </w:r>
            <w:r>
              <w:t xml:space="preserve"> </w:t>
            </w:r>
            <w:r>
              <w:rPr>
                <w:rStyle w:val="VerbatimChar"/>
              </w:rPr>
              <w:t xml:space="preserve">CanManageMasterTools</w:t>
            </w:r>
            <w:r>
              <w:t xml:space="preserve">. There are no per-row Edit/Delete buttons on the list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/tools/{serial}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Edit / Retire / Reactivate gated by</w:t>
            </w:r>
            <w:r>
              <w:t xml:space="preserve"> </w:t>
            </w:r>
            <w:r>
              <w:rPr>
                <w:rStyle w:val="VerbatimChar"/>
              </w:rPr>
              <w:t xml:space="preserve">CanManageMasterTools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+ Calibrate</w:t>
            </w:r>
            <w:r>
              <w:t xml:space="preserve"> </w:t>
            </w:r>
            <w:r>
              <w:t xml:space="preserve">gated by</w:t>
            </w:r>
            <w:r>
              <w:t xml:space="preserve"> </w:t>
            </w:r>
            <w:r>
              <w:rPr>
                <w:rStyle w:val="VerbatimChar"/>
              </w:rPr>
              <w:t xml:space="preserve">CanWriteMasterContent</w:t>
            </w:r>
            <w:r>
              <w:t xml:space="preserve"> </w:t>
            </w:r>
            <w:r>
              <w:t xml:space="preserve">(Office can calibrate a tool they cannot otherwise edit).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/tools/{serial}/edit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/tools/new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CanManageMasterTools</w:t>
            </w:r>
          </w:p>
        </w:tc>
        <w:tc>
          <w:tcPr/>
          <w:p>
            <w:pPr>
              <w:pStyle w:val="Compact"/>
            </w:pPr>
            <w:r>
              <w:t xml:space="preserve">Form pages; no nested gates.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/tools/{serial}/calibrate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CanWriteMasterContent</w:t>
            </w:r>
          </w:p>
        </w:tc>
        <w:tc>
          <w:tcPr/>
          <w:p>
            <w:pPr>
              <w:pStyle w:val="Compact"/>
            </w:pPr>
            <w:r>
              <w:t xml:space="preserve">Calibration wizard.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/licenses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/licenses/new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/licenses/{id}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CanManageLicensing</w:t>
            </w:r>
          </w:p>
        </w:tc>
        <w:tc>
          <w:tcPr/>
          <w:p>
            <w:pPr>
              <w:pStyle w:val="Compact"/>
            </w:pPr>
            <w:r>
              <w:t xml:space="preserve">All write actions on the page (Generate, Revoke, Download</w:t>
            </w:r>
            <w:r>
              <w:t xml:space="preserve"> </w:t>
            </w:r>
            <w:r>
              <w:rPr>
                <w:rStyle w:val="VerbatimChar"/>
              </w:rPr>
              <w:t xml:space="preserve">.lic</w:t>
            </w:r>
            <w:r>
              <w:t xml:space="preserve">, Download key.txt) are gated by the same page-level policy.</w:t>
            </w:r>
          </w:p>
        </w:tc>
      </w:tr>
    </w:tbl>
    <w:bookmarkEnd w:id="19"/>
    <w:bookmarkStart w:id="20" w:name="X5680bd57ba40fc43cc250a3c00da02d98770779"/>
    <w:p>
      <w:pPr>
        <w:pStyle w:val="Heading3"/>
      </w:pPr>
      <w:r>
        <w:t xml:space="preserve">E.4 Tenant data pages — current gating coverage</w:t>
      </w:r>
    </w:p>
    <w:p>
      <w:pPr>
        <w:pStyle w:val="FirstParagraph"/>
      </w:pPr>
      <w:r>
        <w:t xml:space="preserve">The following pages are inside the per-tenant URL scope (</w:t>
      </w:r>
      <w:r>
        <w:rPr>
          <w:rStyle w:val="VerbatimChar"/>
        </w:rPr>
        <w:t xml:space="preserve">/tenants/{code}/…</w:t>
      </w:r>
      <w:r>
        <w:t xml:space="preserve">). All have a page-level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cookie gate; the API enforces the per-action rules by policy.</w:t>
      </w:r>
    </w:p>
    <w:p>
      <w:pPr>
        <w:pStyle w:val="BodyText"/>
      </w:pPr>
      <w:r>
        <w:t xml:space="preserve">This release introduces</w:t>
      </w:r>
      <w:r>
        <w:t xml:space="preserve"> </w:t>
      </w:r>
      <w:r>
        <w:rPr>
          <w:i/>
          <w:iCs/>
        </w:rPr>
        <w:t xml:space="preserve">action-button</w:t>
      </w:r>
      <w:r>
        <w:t xml:space="preserve"> </w:t>
      </w:r>
      <w:r>
        <w:t xml:space="preserve">gating on the highest-traffic pages. Other tenant-data list and edit pages remain on the API backstop until a follow-up release picks them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Action-button gating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New job</w:t>
            </w:r>
            <w:r>
              <w:t xml:space="preserve"> </w:t>
            </w:r>
            <w:r>
              <w:t xml:space="preserve">gated by</w:t>
            </w:r>
            <w:r>
              <w:t xml:space="preserve"> </w:t>
            </w:r>
            <w:r>
              <w:rPr>
                <w:rStyle w:val="VerbatimChar"/>
              </w:rPr>
              <w:t xml:space="preserve">CanWriteTenantContentAsync</w:t>
            </w:r>
            <w:r>
              <w:t xml:space="preserve"> </w:t>
            </w:r>
            <w:r>
              <w:t xml:space="preserve">(cached).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/tenants/{code}/jobs/{id}</w:t>
            </w:r>
          </w:p>
        </w:tc>
        <w:tc>
          <w:tcPr/>
          <w:p>
            <w:pPr>
              <w:pStyle w:val="Compact"/>
            </w:pPr>
            <w:r>
              <w:t xml:space="preserve">Lifecycle transitions and Edit gated by</w:t>
            </w:r>
            <w:r>
              <w:t xml:space="preserve"> </w:t>
            </w:r>
            <w:r>
              <w:rPr>
                <w:rStyle w:val="VerbatimChar"/>
              </w:rPr>
              <w:t xml:space="preserve">CanWriteTenantContentAsync</w:t>
            </w:r>
            <w:r>
              <w:t xml:space="preserve"> </w:t>
            </w:r>
            <w:r>
              <w:t xml:space="preserve">(cached).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/tenants/{code}/jobs/{id}/wells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New well</w:t>
            </w:r>
            <w:r>
              <w:t xml:space="preserve"> </w:t>
            </w:r>
            <w:r>
              <w:t xml:space="preserve">gated by</w:t>
            </w:r>
            <w:r>
              <w:t xml:space="preserve"> </w:t>
            </w:r>
            <w:r>
              <w:rPr>
                <w:rStyle w:val="VerbatimChar"/>
              </w:rPr>
              <w:t xml:space="preserve">CanWriteTenantContentAsync</w:t>
            </w:r>
            <w:r>
              <w:t xml:space="preserve"> </w:t>
            </w:r>
            <w:r>
              <w:t xml:space="preserve">(cached).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other tenant-data list and detail pages (</w:t>
            </w:r>
            <w:r>
              <w:rPr>
                <w:rStyle w:val="VerbatimChar"/>
              </w:rPr>
              <w:t xml:space="preserve">Surveys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Tubulars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CommonMeasures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, the corresponding</w:t>
            </w:r>
            <w:r>
              <w:t xml:space="preserve"> </w:t>
            </w:r>
            <w:r>
              <w:rPr>
                <w:rStyle w:val="VerbatimChar"/>
              </w:rPr>
              <w:t xml:space="preserve">*Create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*Edit</w:t>
            </w:r>
            <w:r>
              <w:t xml:space="preserve"> </w:t>
            </w:r>
            <w:r>
              <w:t xml:space="preserve">form pages)</w:t>
            </w:r>
          </w:p>
        </w:tc>
        <w:tc>
          <w:tcPr/>
          <w:p>
            <w:pPr>
              <w:pStyle w:val="Compact"/>
            </w:pPr>
            <w:r>
              <w:t xml:space="preserve">API backstop only this release. Action buttons render for any signed-in user who reaches the page; the API returns 403 if the caller’s policy is insufficient.</w:t>
            </w:r>
          </w:p>
        </w:tc>
      </w:tr>
    </w:tbl>
    <w:p>
      <w:pPr>
        <w:pStyle w:val="BodyText"/>
      </w:pPr>
      <w:r>
        <w:t xml:space="preserve">For Field users and Tenant users, the API gate means write attempts on the not-yet-gated pages are refused at submit time rather than hidden at render time. This is intentional — the gating is being rolled out incrementally and the user-trust model assumes operators with access to a tenant’s pages know which actions they’re authorised to perform.</w:t>
      </w:r>
    </w:p>
    <w:bookmarkEnd w:id="20"/>
    <w:bookmarkStart w:id="21" w:name="e.5-runs-and-shots"/>
    <w:p>
      <w:pPr>
        <w:pStyle w:val="Heading3"/>
      </w:pPr>
      <w:r>
        <w:t xml:space="preserve">E.5 Runs and Shots</w:t>
      </w:r>
    </w:p>
    <w:p>
      <w:pPr>
        <w:pStyle w:val="FirstParagraph"/>
      </w:pPr>
      <w:r>
        <w:rPr>
          <w:rStyle w:val="VerbatimChar"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Shots</w:t>
      </w:r>
      <w:r>
        <w:t xml:space="preserve"> </w:t>
      </w:r>
      <w:r>
        <w:t xml:space="preserve">write endpoints are open to any tenant member or admin (subtype-agnostic), so Field users and Tenant users can create them. Page-level: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(any signed-in), no per-action gating in the page — the API gate is the same as the page audience, so no UI wrapping is needed.</w:t>
      </w:r>
    </w:p>
    <w:bookmarkEnd w:id="21"/>
    <w:bookmarkStart w:id="22" w:name="e.6-other-pages-not-in-any-matrix-above"/>
    <w:p>
      <w:pPr>
        <w:pStyle w:val="Heading3"/>
      </w:pPr>
      <w:r>
        <w:t xml:space="preserve">E.6 Other pages not in any matrix above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</w:p>
        </w:tc>
        <w:tc>
          <w:tcPr/>
          <w:p>
            <w:pPr>
              <w:pStyle w:val="Compact"/>
            </w:pPr>
            <w:r>
              <w:t xml:space="preserve">Per-user preferences. Visible to every signed-in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API enforces tenant-membership via</w:t>
            </w:r>
            <w:r>
              <w:t xml:space="preserve"> </w:t>
            </w:r>
            <w:r>
              <w:rPr>
                <w:rStyle w:val="VerbatimChar"/>
              </w:rPr>
              <w:t xml:space="preserve">CanAccessTenant</w:t>
            </w:r>
            <w:r>
              <w:t xml:space="preserve">. Per-tenant audit feed.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/tenants/{code}/jobs/{jobId}/wells/plot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Plan-view plot of wells under a job. Read-only.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/tools/{serial}/calibrations/compare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Calibration comparison view. Read-only.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/calibrations/{id}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 </w:t>
            </w:r>
            <w:r>
              <w:t xml:space="preserve">(any signed-in)</w:t>
            </w:r>
          </w:p>
        </w:tc>
        <w:tc>
          <w:tcPr/>
          <w:p>
            <w:pPr>
              <w:pStyle w:val="Compact"/>
            </w:pPr>
            <w:r>
              <w:t xml:space="preserve">Calibration detail page. Reachable by deep-link from a tool. There is no top-level</w:t>
            </w:r>
            <w:r>
              <w:t xml:space="preserve"> </w:t>
            </w:r>
            <w:r>
              <w:rPr>
                <w:rStyle w:val="VerbatimChar"/>
              </w:rPr>
              <w:t xml:space="preserve">/calibrations</w:t>
            </w:r>
            <w:r>
              <w:t xml:space="preserve"> </w:t>
            </w:r>
            <w:r>
              <w:t xml:space="preserve">listing page in this release.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f.-access-denied-behavior"/>
    <w:p>
      <w:pPr>
        <w:pStyle w:val="Heading2"/>
      </w:pPr>
      <w:r>
        <w:t xml:space="preserve">F. Access-denied behavior</w:t>
      </w:r>
    </w:p>
    <w:p>
      <w:pPr>
        <w:pStyle w:val="FirstParagraph"/>
      </w:pPr>
      <w:r>
        <w:t xml:space="preserve">Two distinct flows trigger access denial in the UI:</w:t>
      </w:r>
    </w:p>
    <w:bookmarkStart w:id="24" w:name="X55af365964db11e8f2eb2c9bfe086d8d1e01705"/>
    <w:p>
      <w:pPr>
        <w:pStyle w:val="Heading3"/>
      </w:pPr>
      <w:r>
        <w:t xml:space="preserve">F.1 Page-level policy failure (framework default)</w:t>
      </w:r>
    </w:p>
    <w:p>
      <w:pPr>
        <w:pStyle w:val="FirstParagraph"/>
      </w:pPr>
      <w:r>
        <w:t xml:space="preserve">When a page declares</w:t>
      </w:r>
      <w:r>
        <w:t xml:space="preserve"> </w:t>
      </w:r>
      <w:r>
        <w:rPr>
          <w:rStyle w:val="VerbatimChar"/>
        </w:rPr>
        <w:t xml:space="preserve">[Authorize(Policy = …)]</w:t>
      </w:r>
      <w:r>
        <w:t xml:space="preserve"> </w:t>
      </w:r>
      <w:r>
        <w:t xml:space="preserve">and the policy is not satisfied, the framework’s default unauthorized-result fires. The user sees the framework-provided 401/403 response — there is no automatic redirect to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for this path.</w:t>
      </w:r>
    </w:p>
    <w:p>
      <w:pPr>
        <w:pStyle w:val="BodyText"/>
      </w:pPr>
      <w:r>
        <w:t xml:space="preserve">This is the path used by License pages, master Tools edit pages, the admin area, etc. A user navigating directly to one of these URLs without permission gets a standard not-authorized response from the framework rather than a styled application page.</w:t>
      </w:r>
    </w:p>
    <w:bookmarkEnd w:id="24"/>
    <w:bookmarkStart w:id="25" w:name="X3c8bc40981059d15fed969ccecae6c566cb7c6f"/>
    <w:p>
      <w:pPr>
        <w:pStyle w:val="Heading3"/>
      </w:pPr>
      <w:r>
        <w:t xml:space="preserve">F.2 Runtime probe failure (explicit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redirect)</w:t>
      </w:r>
    </w:p>
    <w:p>
      <w:pPr>
        <w:pStyle w:val="FirstParagraph"/>
      </w:pPr>
      <w:r>
        <w:t xml:space="preserve">When a page runs a tenant-scoped capability probe in</w:t>
      </w:r>
      <w:r>
        <w:t xml:space="preserve"> </w:t>
      </w:r>
      <w:r>
        <w:rPr>
          <w:rStyle w:val="VerbatimChar"/>
        </w:rPr>
        <w:t xml:space="preserve">OnInitializedAsync</w:t>
      </w:r>
      <w:r>
        <w:t xml:space="preserve"> </w:t>
      </w:r>
      <w:r>
        <w:t xml:space="preserve">(currently only</w:t>
      </w:r>
      <w:r>
        <w:t xml:space="preserve"> </w:t>
      </w:r>
      <w:r>
        <w:rPr>
          <w:rStyle w:val="VerbatimChar"/>
        </w:rPr>
        <w:t xml:space="preserve">/tenants/{code}/members</w:t>
      </w:r>
      <w:r>
        <w:t xml:space="preserve">), a failed probe explicitly navigates to:</w:t>
      </w:r>
    </w:p>
    <w:p>
      <w:pPr>
        <w:pStyle w:val="SourceCode"/>
      </w:pPr>
      <w:r>
        <w:rPr>
          <w:rStyle w:val="VerbatimChar"/>
        </w:rPr>
        <w:t xml:space="preserve">/forbidden?required=Supervisor&amp;resource=Members+%2F+{code}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page renders the requested resource and the role required to access it, with a</w:t>
      </w:r>
      <w:r>
        <w:t xml:space="preserve"> </w:t>
      </w:r>
      <w:r>
        <w:t xml:space="preserve">“Back home”</w:t>
      </w:r>
      <w:r>
        <w:t xml:space="preserve"> </w:t>
      </w:r>
      <w:r>
        <w:t xml:space="preserve">link to the user’s default landing page. The user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silently redirected to the home page (this would obscure the cause),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signed out (their session is still valid for other pages).</w:t>
      </w:r>
    </w:p>
    <w:p>
      <w:pPr>
        <w:pStyle w:val="BodyText"/>
      </w:pPr>
      <w:r>
        <w:t xml:space="preserve">A future release will broaden the explicit-redirect path to cover the policy-attribute gates as well, providing a uniform styled denial across the application.</w:t>
      </w:r>
    </w:p>
    <w:bookmarkEnd w:id="25"/>
    <w:bookmarkStart w:id="26" w:name="Xfb42f80cd1c7d8aa4c546d3d3d4fb39b68b781d"/>
    <w:p>
      <w:pPr>
        <w:pStyle w:val="Heading3"/>
      </w:pPr>
      <w:r>
        <w:t xml:space="preserve">F.3 Action button submitted by a user who shouldn’t have seen it</w:t>
      </w:r>
    </w:p>
    <w:p>
      <w:pPr>
        <w:pStyle w:val="FirstParagraph"/>
      </w:pPr>
      <w:r>
        <w:t xml:space="preserve">Possible only if the UI gate failed to render correctly (a defect). The API returns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with an RFC 7807 problem-details body explaining the missing permission. This is the security backstop and should not be reached in normal use.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.-tenant-user-experience-interim"/>
    <w:p>
      <w:pPr>
        <w:pStyle w:val="Heading2"/>
      </w:pPr>
      <w:r>
        <w:t xml:space="preserve">G. Tenant user experience (interim)</w:t>
      </w:r>
    </w:p>
    <w:p>
      <w:pPr>
        <w:pStyle w:val="FirstParagraph"/>
      </w:pPr>
      <w:r>
        <w:t xml:space="preserve">Tenant-type users — external customer accounts hard-bound to a single tenant — currently navigate the same interface as Team users, with the following differences enforced by the UI: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“All Tenants”</w:t>
      </w:r>
      <w:r>
        <w:t xml:space="preserve"> </w:t>
      </w:r>
      <w:r>
        <w:t xml:space="preserve">link is hidden in the sidebar.</w:t>
      </w:r>
    </w:p>
    <w:p>
      <w:pPr>
        <w:pStyle w:val="Compact"/>
        <w:numPr>
          <w:ilvl w:val="0"/>
          <w:numId w:val="1002"/>
        </w:numPr>
      </w:pPr>
      <w:r>
        <w:t xml:space="preserve">The Licensing group is hidden (no Licensing capability).</w:t>
      </w:r>
    </w:p>
    <w:p>
      <w:pPr>
        <w:pStyle w:val="Compact"/>
        <w:numPr>
          <w:ilvl w:val="0"/>
          <w:numId w:val="1002"/>
        </w:numPr>
      </w:pPr>
      <w:r>
        <w:t xml:space="preserve">The System group (Users, Settings, Audit) is hidden (not admin).</w:t>
      </w:r>
    </w:p>
    <w:p>
      <w:pPr>
        <w:pStyle w:val="Compact"/>
        <w:numPr>
          <w:ilvl w:val="0"/>
          <w:numId w:val="1002"/>
        </w:numPr>
      </w:pPr>
      <w:r>
        <w:t xml:space="preserve">“+ New job”</w:t>
      </w:r>
      <w:r>
        <w:t xml:space="preserve"> </w:t>
      </w:r>
      <w:r>
        <w:t xml:space="preserve">/</w:t>
      </w:r>
      <w:r>
        <w:t xml:space="preserve"> </w:t>
      </w:r>
      <w:r>
        <w:t xml:space="preserve">“+ New well”</w:t>
      </w:r>
      <w:r>
        <w:t xml:space="preserve"> </w:t>
      </w:r>
      <w:r>
        <w:t xml:space="preserve">buttons hide on the gated tenant-data pages because the tenant-scoped write probe fails for Tenant-type users.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UI-gated but are enforced by the API backstop:</w:t>
      </w:r>
    </w:p>
    <w:p>
      <w:pPr>
        <w:pStyle w:val="Compact"/>
        <w:numPr>
          <w:ilvl w:val="0"/>
          <w:numId w:val="1003"/>
        </w:numPr>
      </w:pPr>
      <w:r>
        <w:t xml:space="preserve">Direct navigation to</w:t>
      </w:r>
      <w:r>
        <w:t xml:space="preserve"> </w:t>
      </w:r>
      <w:r>
        <w:rPr>
          <w:rStyle w:val="VerbatimChar"/>
        </w:rPr>
        <w:t xml:space="preserve">/tenants</w:t>
      </w:r>
      <w:r>
        <w:t xml:space="preserve"> </w:t>
      </w:r>
      <w:r>
        <w:t xml:space="preserve">returns the API’s filtered list (the API filters to the bound tenant for Tenant-type callers); the UI does not redirect the URL.</w:t>
      </w:r>
    </w:p>
    <w:p>
      <w:pPr>
        <w:pStyle w:val="Compact"/>
        <w:numPr>
          <w:ilvl w:val="0"/>
          <w:numId w:val="1003"/>
        </w:numPr>
      </w:pPr>
      <w:r>
        <w:t xml:space="preserve">All tenant-data create / edit pages render for Tenant-type users, but submits to non-Runs/Shots write endpoints are refused with 403 from the API.</w:t>
      </w:r>
    </w:p>
    <w:p>
      <w:pPr>
        <w:pStyle w:val="FirstParagraph"/>
      </w:pPr>
      <w:r>
        <w:t xml:space="preserve">A dedicated Tenant portal (separate controllers, separate page surface, no shared admin layout) is planned for a future release and will replace this interim arrangement.</w:t>
      </w:r>
    </w:p>
    <w:p>
      <w:r>
        <w:pict>
          <v:rect style="width:0;height:1.5pt" o:hralign="center" o:hrstd="t" o:hr="t"/>
        </w:pict>
      </w:r>
    </w:p>
    <w:bookmarkEnd w:id="28"/>
    <w:bookmarkStart w:id="29" w:name="h.-membership-probe-behaviour"/>
    <w:p>
      <w:pPr>
        <w:pStyle w:val="Heading2"/>
      </w:pPr>
      <w:r>
        <w:t xml:space="preserve">H. Membership probe behaviour</w:t>
      </w:r>
    </w:p>
    <w:p>
      <w:pPr>
        <w:pStyle w:val="FirstParagraph"/>
      </w:pPr>
      <w:r>
        <w:t xml:space="preserve">Several gates depend on tenant membership (</w:t>
      </w:r>
      <w:r>
        <w:t xml:space="preserve">“am I a member of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tenant?”</w:t>
      </w:r>
      <w:r>
        <w:t xml:space="preserve">). These are evaluated by an async probe (</w:t>
      </w:r>
      <w:r>
        <w:rPr>
          <w:rStyle w:val="VerbatimChar"/>
        </w:rPr>
        <w:t xml:space="preserve">CanManageTenantMembersAsync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CanWriteTenantContentAsync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CanAccessTenantAsync</w:t>
      </w:r>
      <w:r>
        <w:t xml:space="preserve">) that reads from a per-circuit cache. The cache is populated by a single</w:t>
      </w:r>
      <w:r>
        <w:t xml:space="preserve"> </w:t>
      </w:r>
      <w:r>
        <w:rPr>
          <w:rStyle w:val="VerbatimChar"/>
        </w:rPr>
        <w:t xml:space="preserve">GET /me/memberships</w:t>
      </w:r>
      <w:r>
        <w:t xml:space="preserve"> </w:t>
      </w:r>
      <w:r>
        <w:t xml:space="preserve">round-trip on first use within a Blazor circuit.</w:t>
      </w:r>
    </w:p>
    <w:p>
      <w:pPr>
        <w:pStyle w:val="BodyText"/>
      </w:pPr>
      <w:r>
        <w:t xml:space="preserve">User-visible consequence: on the first navigation to a per-tenant page within a fresh circuit (i.e., immediately after sign-in), action buttons gated by these probes briefly render hidden until the probe completes — typically a few hundred milliseconds. Subsequent navigations within the same circuit see them immediately.</w:t>
      </w:r>
    </w:p>
    <w:p>
      <w:pPr>
        <w:pStyle w:val="BodyText"/>
      </w:pPr>
      <w:r>
        <w:t xml:space="preserve">The default value is</w:t>
      </w:r>
      <w:r>
        <w:t xml:space="preserve"> </w:t>
      </w:r>
      <w:r>
        <w:t xml:space="preserve">“false”</w:t>
      </w:r>
      <w:r>
        <w:t xml:space="preserve"> </w:t>
      </w:r>
      <w:r>
        <w:t xml:space="preserve">while the probe is in flight. This is a deliberate fail-closed choice: better to flash a hidden state than to flash an action that the user cannot perform.</w:t>
      </w:r>
    </w:p>
    <w:p>
      <w:r>
        <w:pict>
          <v:rect style="width:0;height:1.5pt" o:hralign="center" o:hrstd="t" o:hr="t"/>
        </w:pict>
      </w:r>
    </w:p>
    <w:bookmarkEnd w:id="29"/>
    <w:bookmarkStart w:id="30" w:name="i.-acceptance-criteria"/>
    <w:p>
      <w:pPr>
        <w:pStyle w:val="Heading2"/>
      </w:pPr>
      <w:r>
        <w:t xml:space="preserve">I. Acceptance criteria</w:t>
      </w:r>
    </w:p>
    <w:p>
      <w:pPr>
        <w:pStyle w:val="FirstParagraph"/>
      </w:pPr>
      <w:r>
        <w:t xml:space="preserve">This SOP is approved when:</w:t>
      </w:r>
    </w:p>
    <w:p>
      <w:pPr>
        <w:pStyle w:val="Compact"/>
        <w:numPr>
          <w:ilvl w:val="0"/>
          <w:numId w:val="1004"/>
        </w:numPr>
      </w:pPr>
      <w:r>
        <w:t xml:space="preserve">A representative System Administrator signs in and confirms the navigation menu shows all five groups (Overview, Tenants, Fleet, Licensing, System) and that every admin-only page in section E.2 is reachable.</w:t>
      </w:r>
    </w:p>
    <w:p>
      <w:pPr>
        <w:pStyle w:val="Compact"/>
        <w:numPr>
          <w:ilvl w:val="0"/>
          <w:numId w:val="1004"/>
        </w:numPr>
      </w:pPr>
      <w:r>
        <w:t xml:space="preserve">A representative Supervisor signs in and confirms:</w:t>
      </w:r>
    </w:p>
    <w:p>
      <w:pPr>
        <w:pStyle w:val="Compact"/>
        <w:numPr>
          <w:ilvl w:val="1"/>
          <w:numId w:val="1005"/>
        </w:numPr>
      </w:pPr>
      <w:r>
        <w:t xml:space="preserve">Licensing group appears in the sidebar.</w:t>
      </w:r>
    </w:p>
    <w:p>
      <w:pPr>
        <w:pStyle w:val="Compact"/>
        <w:numPr>
          <w:ilvl w:val="1"/>
          <w:numId w:val="1005"/>
        </w:numPr>
      </w:pPr>
      <w:r>
        <w:t xml:space="preserve">The System group does not appear.</w:t>
      </w:r>
    </w:p>
    <w:p>
      <w:pPr>
        <w:pStyle w:val="Compact"/>
        <w:numPr>
          <w:ilvl w:val="1"/>
          <w:numId w:val="1005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/tenants/{code}</w:t>
      </w:r>
      <w:r>
        <w:t xml:space="preserve"> </w:t>
      </w:r>
      <w:r>
        <w:t xml:space="preserve">for a tenant they are a member of, the Deactivate / Reactivate, Edit, and Members buttons all render.</w:t>
      </w:r>
    </w:p>
    <w:p>
      <w:pPr>
        <w:pStyle w:val="Compact"/>
        <w:numPr>
          <w:ilvl w:val="0"/>
          <w:numId w:val="1004"/>
        </w:numPr>
      </w:pPr>
      <w:r>
        <w:t xml:space="preserve">A representative Office user signs in and confirms:</w:t>
      </w:r>
    </w:p>
    <w:p>
      <w:pPr>
        <w:pStyle w:val="Compact"/>
        <w:numPr>
          <w:ilvl w:val="1"/>
          <w:numId w:val="1006"/>
        </w:numPr>
      </w:pPr>
      <w:r>
        <w:t xml:space="preserve">The Licensing group does not appear (unless they hold the Licensing capability).</w:t>
      </w:r>
    </w:p>
    <w:p>
      <w:pPr>
        <w:pStyle w:val="Compact"/>
        <w:numPr>
          <w:ilvl w:val="1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/tenants</w:t>
      </w:r>
      <w:r>
        <w:t xml:space="preserve"> </w:t>
      </w:r>
      <w:r>
        <w:t xml:space="preserve">the</w:t>
      </w:r>
      <w:r>
        <w:t xml:space="preserve"> </w:t>
      </w:r>
      <w:r>
        <w:t xml:space="preserve">“+ Provision tenant”</w:t>
      </w:r>
      <w:r>
        <w:t xml:space="preserve"> </w:t>
      </w:r>
      <w:r>
        <w:t xml:space="preserve">button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appear.</w:t>
      </w:r>
    </w:p>
    <w:p>
      <w:pPr>
        <w:pStyle w:val="Compact"/>
        <w:numPr>
          <w:ilvl w:val="1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/tenants/{code}</w:t>
      </w:r>
      <w:r>
        <w:t xml:space="preserve"> </w:t>
      </w:r>
      <w:r>
        <w:t xml:space="preserve">the Deactivate / Reactivate buttons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appear, but Edit does.</w:t>
      </w:r>
    </w:p>
    <w:p>
      <w:pPr>
        <w:pStyle w:val="Compact"/>
        <w:numPr>
          <w:ilvl w:val="1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/tools/{serial}</w:t>
      </w:r>
      <w:r>
        <w:t xml:space="preserve"> </w:t>
      </w:r>
      <w:r>
        <w:t xml:space="preserve">the</w:t>
      </w:r>
      <w:r>
        <w:t xml:space="preserve"> </w:t>
      </w:r>
      <w:r>
        <w:t xml:space="preserve">“+ Calibrate”</w:t>
      </w:r>
      <w:r>
        <w:t xml:space="preserve"> </w:t>
      </w:r>
      <w:r>
        <w:t xml:space="preserve">button appears, but Edit / Retire do not.</w:t>
      </w:r>
    </w:p>
    <w:p>
      <w:pPr>
        <w:pStyle w:val="Compact"/>
        <w:numPr>
          <w:ilvl w:val="1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/tenants/{code}/jobs</w:t>
      </w:r>
      <w:r>
        <w:t xml:space="preserve"> </w:t>
      </w:r>
      <w:r>
        <w:t xml:space="preserve">the</w:t>
      </w:r>
      <w:r>
        <w:t xml:space="preserve"> </w:t>
      </w:r>
      <w:r>
        <w:t xml:space="preserve">“+ New job”</w:t>
      </w:r>
      <w:r>
        <w:t xml:space="preserve"> </w:t>
      </w:r>
      <w:r>
        <w:t xml:space="preserve">button appears.</w:t>
      </w:r>
    </w:p>
    <w:p>
      <w:pPr>
        <w:pStyle w:val="Compact"/>
        <w:numPr>
          <w:ilvl w:val="0"/>
          <w:numId w:val="1004"/>
        </w:numPr>
      </w:pPr>
      <w:r>
        <w:t xml:space="preserve">An Office user holding the Licensing capability claim signs in and confirms the Licensing group appears.</w:t>
      </w:r>
    </w:p>
    <w:p>
      <w:pPr>
        <w:pStyle w:val="Compact"/>
        <w:numPr>
          <w:ilvl w:val="0"/>
          <w:numId w:val="1004"/>
        </w:numPr>
      </w:pPr>
      <w:r>
        <w:t xml:space="preserve">A representative Field user signs in and confirms:</w:t>
      </w:r>
    </w:p>
    <w:p>
      <w:pPr>
        <w:pStyle w:val="Compact"/>
        <w:numPr>
          <w:ilvl w:val="1"/>
          <w:numId w:val="1007"/>
        </w:numPr>
      </w:pPr>
      <w:r>
        <w:t xml:space="preserve">The</w:t>
      </w:r>
      <w:r>
        <w:t xml:space="preserve"> </w:t>
      </w:r>
      <w:r>
        <w:t xml:space="preserve">“+ New job”</w:t>
      </w:r>
      <w:r>
        <w:t xml:space="preserve"> </w:t>
      </w:r>
      <w:r>
        <w:t xml:space="preserve">button is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/tenants/{code}/jobs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The</w:t>
      </w:r>
      <w:r>
        <w:t xml:space="preserve"> </w:t>
      </w:r>
      <w:r>
        <w:t xml:space="preserve">“+ New well”</w:t>
      </w:r>
      <w:r>
        <w:t xml:space="preserve"> </w:t>
      </w:r>
      <w:r>
        <w:t xml:space="preserve">button is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/tenants/{code}/jobs/{id}/wells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/tenants/{code}/jobs/{id}/runs</w:t>
      </w:r>
      <w:r>
        <w:t xml:space="preserve"> </w:t>
      </w:r>
      <w:r>
        <w:t xml:space="preserve">they can add Runs (this is the operational-write surface).</w:t>
      </w:r>
    </w:p>
    <w:p>
      <w:pPr>
        <w:pStyle w:val="Compact"/>
        <w:numPr>
          <w:ilvl w:val="0"/>
          <w:numId w:val="1004"/>
        </w:numPr>
      </w:pPr>
      <w:r>
        <w:t xml:space="preserve">A representative Tenant user signs in and confirms the navigation matches section G — All Tenants hidden, Licensing hidden, System hidden, contextual tenant block visible for their bound tenant only.</w:t>
      </w:r>
    </w:p>
    <w:p>
      <w:pPr>
        <w:pStyle w:val="Compact"/>
        <w:numPr>
          <w:ilvl w:val="0"/>
          <w:numId w:val="1004"/>
        </w:numPr>
      </w:pPr>
      <w:r>
        <w:t xml:space="preserve">A non-member attempts to navigate directly to</w:t>
      </w:r>
      <w:r>
        <w:t xml:space="preserve"> </w:t>
      </w:r>
      <w:r>
        <w:rPr>
          <w:rStyle w:val="VerbatimChar"/>
        </w:rPr>
        <w:t xml:space="preserve">/tenants/{code}/members</w:t>
      </w:r>
      <w:r>
        <w:t xml:space="preserve"> </w:t>
      </w:r>
      <w:r>
        <w:t xml:space="preserve">for a tenant they cannot manage and confirms the</w:t>
      </w:r>
      <w:r>
        <w:t xml:space="preserve"> </w:t>
      </w:r>
      <w:r>
        <w:rPr>
          <w:rStyle w:val="VerbatimChar"/>
        </w:rPr>
        <w:t xml:space="preserve">/forbidden</w:t>
      </w:r>
      <w:r>
        <w:t xml:space="preserve"> </w:t>
      </w:r>
      <w:r>
        <w:t xml:space="preserve">page renders with the requested resource and the required role.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ocument-control"/>
    <w:p>
      <w:pPr>
        <w:pStyle w:val="Heading1"/>
      </w:pPr>
      <w:r>
        <w:t xml:space="preserve">Document control</w:t>
      </w:r>
    </w:p>
    <w:bookmarkStart w:id="3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 (draft)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Mike King (KingOfTheGeeks)</w:t>
            </w:r>
          </w:p>
        </w:tc>
        <w:tc>
          <w:tcPr/>
          <w:p>
            <w:pPr>
              <w:pStyle w:val="Compact"/>
            </w:pPr>
            <w:r>
              <w:t xml:space="preserve">Initial draft. Documented the user-interface gating across all pages and personas, including the new</w:t>
            </w:r>
            <w:r>
              <w:t xml:space="preserve"> </w:t>
            </w:r>
            <w:r>
              <w:rPr>
                <w:rStyle w:val="VerbatimChar"/>
              </w:rPr>
              <w:t xml:space="preserve">/forbidden</w:t>
            </w:r>
            <w:r>
              <w:t xml:space="preserve"> </w:t>
            </w:r>
            <w:r>
              <w:t xml:space="preserve">page, Tenant user interim experience, and per-page action visibility.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(draft)</w:t>
            </w:r>
          </w:p>
        </w:tc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</w:pPr>
            <w:r>
              <w:t xml:space="preserve">Mike King (KingOfTheGeeks)</w:t>
            </w:r>
          </w:p>
        </w:tc>
        <w:tc>
          <w:tcPr/>
          <w:p>
            <w:pPr>
              <w:pStyle w:val="Compact"/>
            </w:pPr>
            <w:r>
              <w:t xml:space="preserve">Replacement aligned to commit</w:t>
            </w:r>
            <w:r>
              <w:t xml:space="preserve"> </w:t>
            </w:r>
            <w:r>
              <w:rPr>
                <w:rStyle w:val="VerbatimChar"/>
              </w:rPr>
              <w:t xml:space="preserve">01206c2</w:t>
            </w:r>
            <w:r>
              <w:t xml:space="preserve">. Replaced the navigation matrix in section E.1 to reflect the actual five-group sidebar (Overview / Tenants / Fleet / Licensing / System). Removed claims of</w:t>
            </w:r>
            <w:r>
              <w:t xml:space="preserve"> </w:t>
            </w:r>
            <w:r>
              <w:t xml:space="preserve">“Master Calibrations”</w:t>
            </w:r>
            <w:r>
              <w:t xml:space="preserve"> </w:t>
            </w:r>
            <w:r>
              <w:t xml:space="preserve">as a top-level menu item (no such page exists). Removed claims of</w:t>
            </w:r>
            <w:r>
              <w:t xml:space="preserve"> </w:t>
            </w:r>
            <w:r>
              <w:t xml:space="preserve">“+ New / Edit / Delete”</w:t>
            </w:r>
            <w:r>
              <w:t xml:space="preserve"> </w:t>
            </w:r>
            <w:r>
              <w:t xml:space="preserve">gating on tenant-data pages other than Jobs and Wells (the rest are API-backstop-only this release). Removed the</w:t>
            </w:r>
            <w:r>
              <w:t xml:space="preserve"> </w:t>
            </w:r>
            <w:r>
              <w:t xml:space="preserve">“Per-row Deactivate / Reactivate / Archive”</w:t>
            </w:r>
            <w:r>
              <w:t xml:space="preserve"> </w:t>
            </w:r>
            <w:r>
              <w:t xml:space="preserve">claim from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(no per-row actions on the list page; lifecycle lives on the detail page only; no Archive button anywhere this release). Removed the per-target action table on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 </w:t>
            </w:r>
            <w:r>
              <w:t xml:space="preserve">— that flow was deferred to a future tenant-members surface. Added section H documenting the membership probe + per-circuit cache behaviour. Clarified section F that</w:t>
            </w:r>
            <w:r>
              <w:t xml:space="preserve"> </w:t>
            </w:r>
            <w:r>
              <w:rPr>
                <w:rStyle w:val="VerbatimChar"/>
              </w:rPr>
              <w:t xml:space="preserve">/forbidden</w:t>
            </w:r>
            <w:r>
              <w:t xml:space="preserve"> </w:t>
            </w:r>
            <w:r>
              <w:t xml:space="preserve">is opt-in (currently only TenantMembers redirects there) — framework-default response handles</w:t>
            </w:r>
            <w:r>
              <w:t xml:space="preserve"> </w:t>
            </w:r>
            <w:r>
              <w:rPr>
                <w:rStyle w:val="VerbatimChar"/>
              </w:rPr>
              <w:t xml:space="preserve">[Authorize(Policy=…)]</w:t>
            </w:r>
            <w:r>
              <w:t xml:space="preserve"> </w:t>
            </w:r>
            <w:r>
              <w:t xml:space="preserve">failures. Added section E.6 inventory of additional pages (AccountSettings, TenantAudit, WellsPlot, CalibrationCompare, CalibrationDetail). Reworked acceptance criteria to be satisfiable.</w:t>
            </w:r>
          </w:p>
        </w:tc>
      </w:tr>
    </w:tbl>
    <w:bookmarkEnd w:id="32"/>
    <w:bookmarkStart w:id="33" w:name="change-control-protocol"/>
    <w:p>
      <w:pPr>
        <w:pStyle w:val="Heading2"/>
      </w:pPr>
      <w:r>
        <w:t xml:space="preserve">Change-control protocol</w:t>
      </w:r>
    </w:p>
    <w:p>
      <w:pPr>
        <w:pStyle w:val="FirstParagraph"/>
      </w:pPr>
      <w:r>
        <w:t xml:space="preserve">Updates to this SOP follow the standard procedure-change rules:</w:t>
      </w:r>
    </w:p>
    <w:p>
      <w:pPr>
        <w:pStyle w:val="Compact"/>
        <w:numPr>
          <w:ilvl w:val="0"/>
          <w:numId w:val="1008"/>
        </w:numPr>
      </w:pPr>
      <w:r>
        <w:t xml:space="preserve">Every code change that alters a visible UI element behind a permission gate (a new button, a moved menu, a changed visibility rule)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corresponding update to section E in the same pull request.</w:t>
      </w:r>
    </w:p>
    <w:p>
      <w:pPr>
        <w:pStyle w:val="Compact"/>
        <w:numPr>
          <w:ilvl w:val="0"/>
          <w:numId w:val="1008"/>
        </w:numPr>
      </w:pPr>
      <w:r>
        <w:t xml:space="preserve">Adding or removing a top-level page bumps the SOP minor version (1.1 → 1.2). Restructuring section E or adding a new persona bumps the major version (1.x → 2.0).</w:t>
      </w:r>
    </w:p>
    <w:p>
      <w:pPr>
        <w:pStyle w:val="Compact"/>
        <w:numPr>
          <w:ilvl w:val="0"/>
          <w:numId w:val="1008"/>
        </w:numPr>
      </w:pPr>
      <w:r>
        <w:t xml:space="preserve">Every SOP version is tagged in source control alongside the Enki release it covers.</w:t>
      </w:r>
    </w:p>
    <w:p>
      <w:pPr>
        <w:pStyle w:val="FirstParagraph"/>
      </w:pPr>
      <w:r>
        <w:t xml:space="preserve">This SOP must be kept synchronized with SDI-ENG-SOP-002 (Authorization Redesign) — any policy change in the authorization SOP that affects the user interface requires a matching update here.</w:t>
      </w:r>
    </w:p>
    <w:bookmarkEnd w:id="33"/>
    <w:bookmarkStart w:id="34" w:name="storage-and-distribution"/>
    <w:p>
      <w:pPr>
        <w:pStyle w:val="Heading2"/>
      </w:pPr>
      <w:r>
        <w:t xml:space="preserve">Storage and distribution</w:t>
      </w:r>
    </w:p>
    <w:p>
      <w:pPr>
        <w:pStyle w:val="FirstParagraph"/>
      </w:pPr>
      <w:r>
        <w:t xml:space="preserve">The authoritative source of this SOP is the markdown in the Enki repository (</w:t>
      </w:r>
      <w:r>
        <w:rPr>
          <w:rStyle w:val="VerbatimChar"/>
        </w:rPr>
        <w:t xml:space="preserve">docs/sop-gui-gating.md</w:t>
      </w:r>
      <w:r>
        <w:t xml:space="preserve">). The compiled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artifact (</w:t>
      </w:r>
      <w:r>
        <w:rPr>
          <w:rStyle w:val="VerbatimChar"/>
        </w:rPr>
        <w:t xml:space="preserve">docs/sop-gui-gating.docx</w:t>
      </w:r>
      <w:r>
        <w:t xml:space="preserve">) is regenerated from that source at release time and distributed to client end-users, administrators, and onboarding personnel as needed.</w:t>
      </w:r>
    </w:p>
    <w:p>
      <w:pPr>
        <w:pStyle w:val="BodyText"/>
      </w:pPr>
      <w:r>
        <w:t xml:space="preserve">Print copies are uncontrolled. The source-of-truth is the version in the repository tagged for the release under review.</w:t>
      </w:r>
    </w:p>
    <w:bookmarkEnd w:id="34"/>
    <w:bookmarkStart w:id="35" w:name="approval"/>
    <w:p>
      <w:pPr>
        <w:pStyle w:val="Heading2"/>
      </w:pPr>
      <w:r>
        <w:t xml:space="preserve">Approval</w:t>
      </w:r>
    </w:p>
    <w:p>
      <w:pPr>
        <w:pStyle w:val="FirstParagraph"/>
      </w:pPr>
      <w:r>
        <w:t xml:space="preserve">By signing below, the approver attests that this SOP correctly documents the user interface gating in the corresponding Enki release.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 sign-off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KingOfTheGeeks/Enk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KingOfTheGeeks/Enk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User Interface Gating</dc:title>
  <dc:creator>SDI · KingOfTheGeeks</dc:creator>
  <cp:keywords/>
  <dcterms:created xsi:type="dcterms:W3CDTF">2026-05-02T09:30:55Z</dcterms:created>
  <dcterms:modified xsi:type="dcterms:W3CDTF">2026-05-02T09:30:55Z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2026-05-02</vt:lpwstr>
  </property>
  <property fmtid="{D5CDD505-2E9C-101B-9397-08002B2CF9AE}" pid="3" name="subtitle">
    <vt:lpwstr>Standard Operating Procedure</vt:lpwstr>
  </property>
</Properties>
</file>