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ind w:left="0" w:firstLine="0"/>
        <w:jc w:val="center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Senior Project IDEA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Topic</w:t>
      </w:r>
    </w:p>
    <w:p>
      <w:pPr>
        <w:spacing w:after="200" w:before="0" w:line="240" w:lineRule="auto"/>
        <w:ind w:left="720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Case-Adaptive Medical Multimodal Foundation Model for Clinical Reasoning and Care-Pathway Decision Support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Advisor</w:t>
      </w:r>
    </w:p>
    <w:p>
      <w:pPr>
        <w:spacing w:after="200" w:before="0" w:line="240" w:lineRule="auto"/>
        <w:ind w:left="720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ดร.สัญญ์สิริ ธารประดับ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Members</w:t>
      </w:r>
    </w:p>
    <w:p>
      <w:pPr>
        <w:spacing w:after="0" w:before="0" w:line="240" w:lineRule="auto"/>
        <w:ind w:left="1077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1. 66070501008 จักรภัทร บรรจงรักษา</w:t>
      </w:r>
    </w:p>
    <w:p>
      <w:pPr>
        <w:spacing w:after="0" w:before="0" w:line="240" w:lineRule="auto"/>
        <w:ind w:left="1077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2. 66070501025 ธัญรดา ตั้งวีระพรพงศ์</w:t>
      </w:r>
    </w:p>
    <w:p>
      <w:pPr>
        <w:spacing w:after="0" w:before="0" w:line="240" w:lineRule="auto"/>
        <w:ind w:left="1077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3. 66070501042 ภูริณัฐ พลอาสา</w:t>
      </w:r>
    </w:p>
    <w:p>
      <w:pPr>
        <w:spacing w:after="0" w:before="0" w:line="240" w:lineRule="auto"/>
        <w:ind w:left="1077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4. 66070501085 ธนาพล โพพิศ</w:t>
      </w:r>
    </w:p>
    <w:p>
      <w:pPr>
        <w:spacing w:after="200" w:before="0" w:line="240" w:lineRule="auto"/>
        <w:ind w:left="1077" w:firstLine="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5. 66070501087 สุปรียา น่วมขยัน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Idea of Project &amp; Background</w:t>
      </w:r>
    </w:p>
    <w:p>
      <w:pPr>
        <w:spacing w:after="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ปัจจุบันระบบปัญญาประดิษฐ์ทางการแพทย์ส่วนใหญ่ถูกพัฒนาขึ้นเพื่อทำงานเฉพาะด้าน เช่นรองรับโรคใดโรคหนึ่ง ใช้ข้อมูลเพียงบางประเภท หรือมุ่งเน้นงานเฉพาะอย่าง นอกจากนี้ ระบบจำนวนมากยังใช้การประมวลผลผู้ป่วยในรูปแบบเดียวกัน โดยไม่ได้ปรับตามปริมาณหรือประเภทของข้อมูลที่มีอยู่ในแต่ละกรณี</w:t>
      </w:r>
    </w:p>
    <w:p>
      <w:pPr>
        <w:spacing w:after="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ในสถานการณ์จริงการรับผู้ป่วยที่ด่านหน้าของโรงพยาบาล ข้อมูลสำหรับการตัดสินใจมักยังไม่ครบถ้วนตั้งแต่เริ่มต้น แต่จะค่อย ๆ เพิ่มขึ้นตามลำดับเวลา โดยเริ่มจากอาการและประวัติผู้ป่วย ตามด้วยข้อมูลจากสัญญาณชีพ ผลตรวจทางห้องปฏิบัติการ และภาพทางการแพทย์ ขณะที่ภาพถ่ายทางรังสีและผลการอ่านของแพทย์ผู้เชี่ยวชาญอาจต้องรอหลายชั่วโมง ดังนั้นในแต่ละช่วงเวลาผู้ปฏิบัติงานจึงต้องตัดสินใจจากข้อมูลที่มี ณ ขณะนั้น ไม่ใช่ข้อมูลทั้งหมดที่อาจได้รับในภายหลัง</w:t>
      </w:r>
    </w:p>
    <w:p>
      <w:pPr>
        <w:spacing w:after="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คำถามสำคัญจึงไม่ได้มีเพียงว่าผู้ป่วยมีแนวโน้มจะเป็นโรคอะไร แต่รวมถึงผู้ป่วยมีความเร่งด่วนในระดับใด ควรซักถามหรือส่งตรวจอะไรเพิ่มเติม และเมื่อใดที่ข้อมูลที่มีอยู่ยังไม่เพียงพอจนควรส่งต่อให้แพทย์เป็นผู้พิจารณา โดยเฉพาะในกรณีฉุกเฉิน ความผิดพลาดที่อาจส่งผลกระทบรุนแรงคือการประเมินความเร่งด่วนต่ำกว่าความเป็นจริง (under-triage) หรือการให้คำแนะนำที่สร้างความมั่นใจมากเกินไป ทั้งที่หลักฐานยังไม่เพียงพอ</w:t>
      </w:r>
    </w:p>
    <w:p>
      <w:pPr>
        <w:spacing w:after="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จากปัญหาดังกล่าว ผู้จัดทำจึงสนใจพัฒนาโมเดลพื้นฐานแบบมัลติโมดัล (multimodal foundation model) ทางการแพทย์ขนาดประมาณ 27 พันล้านพารามิเตอร์ (27B) แบบเปิดน้ำหนักโมเดล (open-weight) โดยรองรับข้อมูลหลายประเภท ได้แก่ ข้อความทางคลินิก ภาพถ่ายทางการแพทย์สองมิติ ภาพปริมาตรสามมิติจากเครื่อง CT และ MRI ข้อมูลเชิงโครงสร้าง และประวัติผู้ป่วยตามช่วงเวลา</w:t>
      </w:r>
    </w:p>
    <w:p>
      <w:pPr>
        <w:spacing w:after="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แนวคิดหลักของโมเดลคือ ไม่จำเป็นต้องใช้กระบวนการคำนวณแบบเดียวกันกับผู้ป่วยทุกราย แต่สามารถเลือกและนำเฉพาะข้อมูลที่มีอยู่และเกี่ยวข้องกับผู้ป่วยในขณะนั้นมาประกอบเป็นเส้นทางการคำนวณเฉพาะราย ในรูปแบบกราฟการคำนวณเฉพาะเคสแบบมีชนิดและไม่มีวงจรย้อนกลับ (typed directed acyclic graph) โดยโครงสร้างการคำนวณดังกล่าวสามารถบันทึกไว้เป็นไฟล์และนำกลับมาเล่นซ้ำเพื่อให้ได้ผลลัพธ์เดิม รวมถึงสามารถทดลองตัดหรือสลับส่วนประกอบต่าง ๆ เพื่อประเมินว่าแต่ละส่วนของโครงสร้างมีผลต่อคำตอบจริงหรือไม่ แทนที่จะเป็นเพียงคำอธิบายที่สร้างขึ้นภายหลังจากที่โมเดลให้คำตอบแล้ว</w:t>
      </w:r>
    </w:p>
    <w:p>
      <w:pPr>
        <w:spacing w:after="200" w:before="0" w:line="240" w:lineRule="auto"/>
        <w:ind w:left="0" w:firstLine="72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ควบคู่กันนั้น ผู้จัดทำจะพัฒนาระบบ AI Clinical Front Door ซึ่งเป็นระบบสนับสนุนการตัดสินใจที่ออกแบบแบบ API-first คือทุกความสามารถของระบบถูกเปิดให้เรียกใช้ผ่าน API ที่มีสัญญาการเรียกใช้ (contract) ชัดเจน ส่วนหน้าจอผู้ใช้งานเป็นเพียงผู้เรียกใช้ API ชุดเดียวกัน โดยระบบทำหน้าที่ซักประวัติเบื้องต้น คัดกรองภาวะฉุกเฉิน เสนอแนวทางการดูแลให้แพทย์พิจารณา และแนะนำว่าควรเก็บข้อมูลหรือส่งตรวจอะไรเพิ่มเติม รวมถึงแสดงระดับความไม่แน่นอนของผลลัพธ์ และส่งต่อให้บุคลากรทางการแพทย์เมื่อหลักฐานยังไม่เพียงพอ โดยการเรียกใช้โมเดลทั้งหมดจะผ่าน Model Gateway ซึ่งเป็นชั้นกลางที่รวมการเรียกใช้โมเดลไว้ที่จุดเดียว กำหนดรูปแบบข้อมูลเข้าและออกให้คงที่ จึงสามารถเปลี่ยนหรือสลับโมเดลเบื้องหลังได้โดยไม่กระทบระบบส่วนอื่น และกำหนดให้ผลลัพธ์ที่ได้จากระบบต้องผ่านการตรวจสอบและยืนยันโดยมนุษย์ก่อนนำไปใช้ในการตัดสินใจทางคลินิก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Objective</w:t>
      </w:r>
    </w:p>
    <w:p>
      <w:pPr>
        <w:spacing w:after="0" w:before="0" w:line="240" w:lineRule="auto"/>
        <w:ind w:left="1077" w:hanging="425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1. พัฒนาโมเดลมัลติโมดัลทางการแพทย์ขนาดประมาณ 27B ในรูปแบบ open-weight ที่รองรับข้อมูลหลายประเภท ได้แก่ ข้อความทางคลินิก ภาพทางการแพทย์สองมิติ ภาพปริมาตรสามมิติ ข้อมูลเชิงโครงสร้าง และข้อมูลผู้ป่วยตามช่วงเวลา</w:t>
      </w:r>
    </w:p>
    <w:p>
      <w:pPr>
        <w:spacing w:after="0" w:before="0" w:line="240" w:lineRule="auto"/>
        <w:ind w:left="1077" w:hanging="425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2. พัฒนา Case Graph Compiler และตัวประมวลผลกราฟแบบมีชนิด (Typed Graph Executor) เพื่อประกอบหลักฐานที่มีอยู่ในแต่ละเคสเป็นกราฟการคำนวณเฉพาะราย ซึ่งสามารถบันทึก นำกลับมาเล่นซ้ำ และตรวจสอบย้อนกลับได้</w:t>
      </w:r>
    </w:p>
    <w:p>
      <w:pPr>
        <w:spacing w:after="0" w:before="0" w:line="240" w:lineRule="auto"/>
        <w:ind w:left="1077" w:hanging="425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3. พัฒนาระบบ AI Clinical Front Door ในรูปแบบ API-first เพื่อสนับสนุนการคัดกรองความเร่งด่วน เสนอแนวทางการดูแล แนะนำข้อมูลหรือการตรวจที่ควรเก็บเพิ่มเติม และส่งต่อให้บุคลากรทางการแพทย์เมื่อหลักฐานไม่เพียงพอ โดยผลลัพธ์ทุกขั้นตอนต้องผ่านการยืนยันจากมนุษย์</w:t>
      </w:r>
    </w:p>
    <w:p>
      <w:pPr>
        <w:spacing w:after="0" w:before="0" w:line="240" w:lineRule="auto"/>
        <w:ind w:left="1077" w:hanging="425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4. ประเมินประสิทธิภาพของแนวทางที่พัฒนาขึ้นโดยเปรียบเทียบกับวิธีที่ใช้เส้นทางการคำนวณแบบคงที่ ภายใต้งบประมาณด้านข้อมูลและการคำนวณที่ใกล้เคียงกัน เพื่อประเมินผลของการปรับเส้นทางการคำนวณตามแต่ละเคส</w:t>
      </w:r>
    </w:p>
    <w:p>
      <w:pPr>
        <w:spacing w:after="200" w:before="0" w:line="240" w:lineRule="auto"/>
        <w:ind w:left="1077" w:hanging="425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5. รักษาความถูกต้องของข้อมูลตามเวลาและระดับผู้ป่วย โดยแบ่งชุดข้อมูลในระดับผู้ป่วยก่อนสร้างตัวอย่างสำหรับการทดลอง และกำหนดให้หลักฐานทุกชิ้นมีระบุเวลาที่ข้อมูลพร้อมใช้งาน เพื่อป้องกันการนำข้อมูลที่ยังไม่เกิดขึ้น ณ เวลาตัดสินใจมาใช้ในการประเมิน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Scope of work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การพัฒนาโมเดลมัลติโมดัลขนาดประมาณ 27B: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พัฒนาส่วน encoder สำหรับข้อมูลแต่ละประเภท ได้แก่ ข้อความทางคลินิก ภาพทางการแพทย์สองมิติ ภาพปริมาตรสามมิติจาก CT และ MRI ข้อมูลเชิงโครงสร้าง และข้อมูลตามลำดับเวลา เพื่อรวมเป็นตัวแทนสถานะ (representation) ของผู้ป่วยรายเดียวกัน โดยเริ่มจากโมเดลขนาดเล็กเพื่อทดสอบสถาปัตยกรรมก่อนขยายสู่ขนาดประมาณ 27B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การพัฒนากราฟการคำนวณเฉพาะเคส: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พัฒนา Case Graph Compiler เพื่อเลือกโหนด เส้นเชื่อม ตัวดำเนินการ และเงื่อนไขการหยุดตามหลักฐานของแต่ละเคส พร้อมกลไกบันทึกและเล่นซ้ำกราฟที่ใช้งานจริงเพื่อให้ได้ผลลัพธ์เดิม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การจัดการข้อมูลและความถูกต้องเชิงเวลา: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ใช้เฉพาะข้อมูลสาธารณะที่มีใบอนุญาต ข้อมูลสังเคราะห์ หรือข้อมูลที่ได้รับอนุญาตอย่างเป็นทางการ แบ่งชุดข้อมูลในระดับผู้ป่วยก่อนสร้างตัวอย่าง และป้องกันไม่ให้ข้อมูลที่เกิดขึ้นหลังเวลาตัดสินใจรั่วไหลเข้าสู่การเรียนรู้หรือการประเมินผล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การพัฒนาระบบ AI Clinical Front Door: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พัฒนาส่วนซักประวัติที่แยกข้อมูลที่ทราบ ไม่ทราบ ปฏิเสธที่จะให้ และยังไม่มีออกจากกัน พร้อมระบบกฎคัดกรองภาวะฉุกเฉินที่ทำงานก่อนโมเดลและไม่สามารถถูกโมเดลลบล้างได้ พัฒนาหน้าจอสรุปผลที่แสดงระดับความเร่งด่วน แนวทางการดูแล ข้อมูลที่ยังขาด และความไม่แน่นอน พร้อมบันทึกเพื่อตรวจสอบย้อนหลัง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การทดสอบและประเมินผล: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ประเมินด้วยกรณีศึกษาจำลองที่ครอบคลุมหลายระบบโรค หลายระดับความเร่งด่วน และกรณีข้อมูลขาดหายหรือขัดแย้งกัน โดยเน้นตัวชี้วัดด้านความปลอดภัย เช่น ความไวต่อกรณีวิกฤตและอัตรา under-triage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การเปรียบเทียบกับวิธีที่มีอยู่:</w:t>
      </w:r>
    </w:p>
    <w:p>
      <w:pPr>
        <w:spacing w:after="8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เปรียบเทียบกับวิธีที่ใช้เส้นทางการคำนวณคงที่ กราฟโครงสร้างคงที่ และการเลือกเส้นทางแบบสุ่ม โดยควบคุมจำนวนพารามิเตอร์ ปริมาณข้อมูล และงบประมาณการคำนวณให้อยู่ในระดับที่เทียบเคียงกัน พร้อมรายงานผลทั้งที่สนับสนุนและไม่สนับสนุนสมมติฐาน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ขอบเขตที่ไม่รวมอยู่ในโครงงาน:</w:t>
      </w:r>
    </w:p>
    <w:p>
      <w:pPr>
        <w:spacing w:after="20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ระบบที่พัฒนาขึ้นเป็นต้นแบบสำหรับการวิจัยและสนับสนุนการตัดสินใจเท่านั้น ไม่ได้มีวัตถุประสงค์เพื่อวินิจฉัยโรค สั่งการรักษา สั่งยา สั่งตรวจ ส่งต่อผู้ป่วย หรือจำหน่ายผู้ป่วยโดยอัตโนมัติ ระบบจะไม่ถูกนำไปใช้กับผู้ป่วยจริง และจะไม่ส่งข้อมูลผู้ป่วยที่สามารถระบุตัวตนได้ออกไปยังบริการภายนอก</w:t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Expected Result</w:t>
      </w:r>
    </w:p>
    <w:p>
      <w:pPr>
        <w:spacing w:after="200" w:before="0" w:line="240" w:lineRule="auto"/>
        <w:ind w:left="0" w:firstLine="0"/>
        <w:jc w:val="both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1. </w:t>
      </w: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โมเดลแบบ open-weight พร้อมเอกสารกำกับ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— ได้โมเดลมัลติโมดัลทางการแพทย์แบบ open-weight พร้อมเอกสารกำกับที่ระบุขอบเขตของข้อมูลที่ใช้ในการฝึก ข้อจำกัดของโมเดล และเงื่อนไขการนำไปใช้งาน 2. </w:t>
      </w: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ความสามารถในการตรวจสอบย้อนกลับของกระบวนการคำนวณ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— ได้กราฟการคำนวณที่ถูกใช้งานจริงในแต่ละเคสในรูปแบบที่สามารถบันทึกและนำกลับมาเล่นซ้ำได้ ทำให้สามารถตรวจสอบได้ว่าระบบใช้หลักฐานใด และผ่านขั้นตอนการคำนวณใดบ้างก่อนสร้างผลลัพธ์ 3. </w:t>
      </w: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ระบบสนับสนุนการตัดสินใจที่สาธิตกระบวนการได้ครบถ้วน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— ได้ระบบ AI Clinical Front Door ที่สามารถสาธิตกระบวนการตั้งแต่การซักประวัติ การคัดกรองภาวะฉุกเฉิน การเสนอแนวทางการดูแล ไปจนถึงการบันทึกการยืนยันผลโดยผู้ใช้งานที่เป็นมนุษย์ รวมถึงสามารถสลับผู้ให้บริการโมเดลได้โดยไม่ต้องแก้ไขระบบในส่วนของผู้ใช้งาน 4. </w:t>
      </w: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หลักฐานเชิงประจักษ์ที่สามารถทำซ้ำได้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— ได้ผลการเปรียบเทียบภายใต้งบประมาณด้านข้อมูลและการคำนวณที่ใกล้เคียงกัน พร้อมชุดคำสั่ง ค่าตั้งต้น และเวอร์ชันของข้อมูลที่ใช้ในการทดลอง เพื่อให้ผู้อื่นสามารถนำไปทำซ้ำได้ โดยรายงานทั้งผลที่สนับสนุนและไม่สนับสนุนสมมติฐานของโครงการ 5. </w:t>
      </w:r>
      <w:r>
        <w:rPr>
          <w:rFonts w:ascii="TH SarabunPSK" w:hAnsi="TH SarabunPSK" w:cs="TH SarabunPSK" w:eastAsia="TH SarabunPSK"/>
          <w:b/>
          <w:sz w:val="32"/>
          <w:u w:val="none"/>
          <w:szCs w:val="32"/>
          <w:lang w:val="en-US" w:bidi="th-TH"/>
          <w:bCs/>
        </w:rPr>
        <w:t>กลไกที่ช่วยลดความเสี่ยงจากการประเมินความเร่งด่วนต่ำกว่าความเป็นจริง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— ได้ชุดตัวชี้วัดและกลไกการทำงานที่ให้ความสำคัญกับกรณีวิกฤตเป็นลำดับแรก โดยเมื่อหลักฐานไม่เพียงพอ ระบบจะงดการให้ข้อสรุปและส่งต่อให้มนุษย์พิจารณา แทนการให้คำตอบที่มีความมั่นใจสูงทั้งที่ยังไม่มีหลักฐานเพียงพอ</w:t>
        <w:br w:type="page"/>
      </w:r>
    </w:p>
    <w:p>
      <w:pPr>
        <w:spacing w:after="0" w:before="0" w:line="240" w:lineRule="auto"/>
        <w:ind w:left="0" w:firstLine="0"/>
      </w:pPr>
      <w:r>
        <w:rPr>
          <w:rFonts w:ascii="TH SarabunPSK" w:hAnsi="TH SarabunPSK" w:cs="TH SarabunPSK" w:eastAsia="TH SarabunPSK"/>
          <w:b w:val="0"/>
          <w:sz w:val="32"/>
          <w:u w:val="single"/>
          <w:szCs w:val="32"/>
          <w:lang w:val="en-US" w:bidi="th-TH"/>
        </w:rPr>
        <w:t>References</w:t>
      </w:r>
    </w:p>
    <w:p>
      <w:pPr>
        <w:spacing w:after="80" w:before="0" w:line="240" w:lineRule="auto"/>
        <w:ind w:left="720" w:hanging="72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Bedi, S., Liu, Y., Orr-Ewing, L., Dash, D., Koyejo, S., Callahan, A., Fries, J. A., Wornow, M., Swaminathan, A., Lehmann, L. S., Hong, H. J., Kashyap, M., Chaurasia, A. R., Shah, N. R., Singh, K., Tazbaz, T., Milstein, A., Pfeffer, M. A., &amp; Shah, N. H. (2025). Testing and evaluation of health care applications of large language models: A systematic review.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JAMA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,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333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(4), 319–328. https://doi.org/10.1001/jama.2024.21700</w:t>
      </w:r>
    </w:p>
    <w:p>
      <w:pPr>
        <w:spacing w:after="80" w:before="0" w:line="240" w:lineRule="auto"/>
        <w:ind w:left="720" w:hanging="72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Hamamci, I. E., Er, S., Wang, C., Almas, F., Simsek, A. G., Esirgun, S. N., Dogan, I., Durugol, O. F., Hou, B., Shit, S., Dai, W., Xu, M., Reynaud, H., Dasdelen, M. F., Wittmann, B., Amiranashvili, T., Simsar, E., Simsar, M., Erdemir, E. B., ... Menze, B. (2026). Generalist foundation models from a multimodal dataset for 3D computed tomography.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Nature Biomedical Engineering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,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10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(8), 1610–1628. https://doi.org/10.1038/s41551-025-01599-y</w:t>
      </w:r>
    </w:p>
    <w:p>
      <w:pPr>
        <w:spacing w:after="80" w:before="0" w:line="240" w:lineRule="auto"/>
        <w:ind w:left="720" w:hanging="72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Jiang, A. Q., Sablayrolles, A., Roux, A., Mensch, A., Savary, B., Bamford, C., Chaplot, D. S., de las Casas, D., Hanna, E. B., Bressand, F., Lengyel, G., Bour, G., Lample, G., Lavaud, L. R., Saulnier, L., Lachaux, M.-A., Stock, P., Subramanian, S., Yang, S., ... El Sayed, W. (2024).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Mixtral of experts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 (arXiv:2401.04088). arXiv. https://doi.org/10.48550/arXiv.2401.04088</w:t>
      </w:r>
    </w:p>
    <w:p>
      <w:pPr>
        <w:spacing w:after="80" w:before="0" w:line="240" w:lineRule="auto"/>
        <w:ind w:left="720" w:hanging="72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Kapoor, S., &amp; Narayanan, A. (2023). Leakage and the reproducibility crisis in machine-learning-based science.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Patterns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,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4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(9), Article 100804. https://doi.org/10.1016/j.patter.2023.100804</w:t>
      </w:r>
    </w:p>
    <w:p>
      <w:pPr>
        <w:spacing w:after="200" w:before="0" w:line="240" w:lineRule="auto"/>
        <w:ind w:left="720" w:hanging="720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Moor, M., Banerjee, O., Abad, Z. S. H., Krumholz, H. M., Leskovec, J., Topol, E. J., &amp; Rajpurkar, P. (2023). Foundation models for generalist medical artificial intelligence.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Nature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 xml:space="preserve">, </w:t>
      </w:r>
      <w:r>
        <w:rPr>
          <w:rFonts w:ascii="TH SarabunPSK" w:hAnsi="TH SarabunPSK" w:cs="TH SarabunPSK" w:eastAsia="TH SarabunPSK"/>
          <w:b w:val="0"/>
          <w:i/>
          <w:sz w:val="32"/>
          <w:u w:val="none"/>
          <w:szCs w:val="32"/>
          <w:lang w:val="en-US" w:bidi="th-TH"/>
        </w:rPr>
        <w:t>616</w:t>
      </w: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(7956), 259–265. https://doi.org/10.1038/s41586-023-05881-4</w:t>
      </w:r>
    </w:p>
    <w:p>
      <w:pPr>
        <w:spacing w:after="0" w:before="0" w:line="240" w:lineRule="auto"/>
        <w:ind w:left="0" w:firstLine="0"/>
      </w:pPr>
    </w:p>
    <w:p>
      <w:pPr>
        <w:spacing w:after="0" w:before="0" w:line="240" w:lineRule="auto"/>
        <w:ind w:left="3402" w:firstLine="0"/>
        <w:jc w:val="center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ลงชื่อ ..........................................................</w:t>
      </w:r>
    </w:p>
    <w:p>
      <w:pPr>
        <w:spacing w:after="0" w:before="0" w:line="240" w:lineRule="auto"/>
        <w:ind w:left="3402" w:firstLine="0"/>
        <w:jc w:val="center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( ดร.สัญญ์สิริ ธารประดับ )</w:t>
      </w:r>
    </w:p>
    <w:p>
      <w:pPr>
        <w:spacing w:after="0" w:before="0" w:line="240" w:lineRule="auto"/>
        <w:ind w:left="3402" w:firstLine="0"/>
        <w:jc w:val="center"/>
      </w:pPr>
      <w:r>
        <w:rPr>
          <w:rFonts w:ascii="TH SarabunPSK" w:hAnsi="TH SarabunPSK" w:cs="TH SarabunPSK" w:eastAsia="TH SarabunPSK"/>
          <w:b w:val="0"/>
          <w:sz w:val="32"/>
          <w:u w:val="none"/>
          <w:szCs w:val="32"/>
          <w:lang w:val="en-US" w:bidi="th-TH"/>
        </w:rPr>
        <w:t>Advisor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