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640" w:after="320" w:line="264" w:lineRule="auto"/>
        <w:jc w:val="center"/>
      </w:pPr>
      <w:r>
        <w:rPr>
          <w:rFonts w:ascii="TH SarabunPSK" w:hAnsi="TH SarabunPSK" w:eastAsia="TH SarabunPSK" w:cs="TH SarabunPSK"/>
          <w:b/>
          <w:i w:val="0"/>
          <w:color w:val="000000"/>
          <w:sz w:val="32"/>
        </w:rPr>
        <w:t>SMARTLIVA</w:t>
      </w:r>
    </w:p>
    <w:p>
      <w:pPr>
        <w:keepNext w:val="0"/>
        <w:spacing w:before="0" w:after="280" w:line="264" w:lineRule="auto"/>
        <w:jc w:val="center"/>
      </w:pPr>
      <w:r>
        <w:rPr>
          <w:rFonts w:ascii="TH SarabunPSK" w:hAnsi="TH SarabunPSK" w:eastAsia="TH SarabunPSK" w:cs="TH SarabunPSK"/>
          <w:b/>
          <w:i w:val="0"/>
          <w:color w:val="000000"/>
          <w:sz w:val="52"/>
        </w:rPr>
        <w:t>รายงานแหล่งที่มาและปริมาณชุดข้อมูล</w:t>
        <w:br/>
        <w:t>สำหรับการพัฒนาโมเดลโรคตับ</w:t>
      </w:r>
    </w:p>
    <w:p>
      <w:pPr>
        <w:keepNext w:val="0"/>
        <w:spacing w:before="0" w:after="1120" w:line="264" w:lineRule="auto"/>
        <w:jc w:val="center"/>
      </w:pPr>
      <w:r>
        <w:rPr>
          <w:rFonts w:ascii="TH SarabunPSK" w:hAnsi="TH SarabunPSK" w:eastAsia="TH SarabunPSK" w:cs="TH SarabunPSK"/>
          <w:b w:val="0"/>
          <w:i w:val="0"/>
          <w:color w:val="000000"/>
          <w:sz w:val="36"/>
        </w:rPr>
        <w:t>โครงการระบบปัญญาประดิษฐ์ช่วยคัดกรองภาพอัลตราซาวด์ตับชนิด B-mode</w:t>
      </w:r>
    </w:p>
    <w:p>
      <w:pPr>
        <w:keepNext w:val="0"/>
        <w:spacing w:before="0" w:after="80" w:line="264" w:lineRule="auto"/>
        <w:jc w:val="center"/>
      </w:pPr>
      <w:r>
        <w:rPr>
          <w:rFonts w:ascii="TH SarabunPSK" w:hAnsi="TH SarabunPSK" w:eastAsia="TH SarabunPSK" w:cs="TH SarabunPSK"/>
          <w:b/>
          <w:i w:val="0"/>
          <w:color w:val="000000"/>
          <w:sz w:val="32"/>
        </w:rPr>
        <w:t>ขอบเขตข้อมูล ณ วันที่ 27 สิงหาคม 2569</w:t>
      </w:r>
    </w:p>
    <w:p>
      <w:pPr>
        <w:keepNext w:val="0"/>
        <w:spacing w:before="0" w:after="80" w:line="264" w:lineRule="auto"/>
        <w:jc w:val="center"/>
      </w:pPr>
      <w:r>
        <w:rPr>
          <w:rFonts w:ascii="TH SarabunPSK" w:hAnsi="TH SarabunPSK" w:eastAsia="TH SarabunPSK" w:cs="TH SarabunPSK"/>
          <w:b w:val="0"/>
          <w:i w:val="0"/>
          <w:color w:val="000000"/>
          <w:sz w:val="30"/>
        </w:rPr>
        <w:t>จัดทำจากไฟล์ข้อมูล สคริปต์ฝึก และบันทึกผลที่ตรวจสอบได้ในโครงการ</w:t>
      </w:r>
    </w:p>
    <w:p>
      <w:pPr>
        <w:keepNext w:val="0"/>
        <w:spacing w:before="0" w:after="0" w:line="264" w:lineRule="auto"/>
        <w:jc w:val="center"/>
      </w:pPr>
      <w:r>
        <w:rPr>
          <w:rFonts w:ascii="TH SarabunPSK" w:hAnsi="TH SarabunPSK" w:eastAsia="TH SarabunPSK" w:cs="TH SarabunPSK"/>
          <w:b w:val="0"/>
          <w:i w:val="0"/>
          <w:color w:val="000000"/>
          <w:sz w:val="30"/>
        </w:rPr>
        <w:t>เอกสารขาว-ดำ | แบบอักษร TH SarabunPSK</w:t>
      </w:r>
    </w:p>
    <w:p>
      <w:r>
        <w:br w:type="page"/>
      </w:r>
    </w:p>
    <w:p>
      <w:pPr>
        <w:pStyle w:val="Heading1"/>
        <w:keepNext/>
      </w:pPr>
      <w:r>
        <w:rPr>
          <w:rFonts w:ascii="TH SarabunPSK" w:hAnsi="TH SarabunPSK" w:eastAsia="TH SarabunPSK" w:cs="TH SarabunPSK"/>
          <w:b/>
          <w:i w:val="0"/>
          <w:color w:val="000000"/>
          <w:sz w:val="40"/>
        </w:rPr>
        <w:t>1. วัตถุประสงค์และขอบเขต</w:t>
      </w:r>
    </w:p>
    <w:p>
      <w:pPr>
        <w:keepNext w:val="0"/>
        <w:spacing w:before="0" w:after="120" w:line="264" w:lineRule="auto"/>
        <w:jc w:val="left"/>
      </w:pP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รายงานฉบับนี้สรุปแหล่งที่มา ปริมาณภาพ หน่วยการตรวจ และข้อมูลจำนวนผู้ป่วยของชุดข้อมูลที่ใช้พัฒนาโมดูลโรคตับใน SmartLiva โดยยึดตามหลักฐานที่พบจริงในโครงการ และแยกโมดูลที่ฝึกด้วยข้อมูลออกจากโมดูลที่เป็นกฎคำนวณหรืออาศัยประวัติผู้ป่วยอย่างชัดเจน</w:t>
      </w:r>
    </w:p>
    <w:p>
      <w:pPr>
        <w:keepNext w:val="0"/>
        <w:spacing w:before="0" w:after="120" w:line="264" w:lineRule="auto"/>
        <w:jc w:val="left"/>
      </w:pPr>
      <w:r>
        <w:rPr>
          <w:rFonts w:ascii="TH SarabunPSK" w:hAnsi="TH SarabunPSK" w:eastAsia="TH SarabunPSK" w:cs="TH SarabunPSK"/>
          <w:b/>
          <w:i w:val="0"/>
          <w:color w:val="000000"/>
          <w:sz w:val="32"/>
        </w:rPr>
        <w:t>รายงานนี้ไม่ใช่รายงานประสิทธิภาพทางคลินิก และคำว่า “ใช้ฝึก” หมายถึงมีหลักฐานเป็นไฟล์ชุดฝึก สคริปต์เตรียมข้อมูล และ/หรือบันทึกการฝึกในโครงการเท่านั้น</w:t>
      </w:r>
    </w:p>
    <w:p>
      <w:pPr>
        <w:pStyle w:val="Heading1"/>
        <w:keepNext/>
      </w:pPr>
      <w:r>
        <w:rPr>
          <w:rFonts w:ascii="TH SarabunPSK" w:hAnsi="TH SarabunPSK" w:eastAsia="TH SarabunPSK" w:cs="TH SarabunPSK"/>
          <w:b/>
          <w:i w:val="0"/>
          <w:color w:val="000000"/>
          <w:sz w:val="40"/>
        </w:rPr>
        <w:t>2. สรุปชุดข้อมูลจำแนกตามโมดูลโรคตับ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2840"/>
        <w:gridCol w:w="1900"/>
        <w:gridCol w:w="2820"/>
      </w:tblGrid>
      <w:tr>
        <w:trPr>
          <w:tblHeader w:val="true"/>
        </w:trPr>
        <w:tc>
          <w:tcPr>
            <w:tcW w:type="dxa" w:w="18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000000"/>
                <w:sz w:val="26"/>
              </w:rPr>
              <w:t>โมดูล</w:t>
            </w:r>
          </w:p>
        </w:tc>
        <w:tc>
          <w:tcPr>
            <w:tcW w:type="dxa" w:w="284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000000"/>
                <w:sz w:val="26"/>
              </w:rPr>
              <w:t>แหล่งข้อมูลในโครงการ</w:t>
            </w:r>
          </w:p>
        </w:tc>
        <w:tc>
          <w:tcPr>
            <w:tcW w:type="dxa" w:w="19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000000"/>
                <w:sz w:val="26"/>
              </w:rPr>
              <w:t>จำนวนที่ใช้</w:t>
            </w:r>
          </w:p>
        </w:tc>
        <w:tc>
          <w:tcPr>
            <w:tcW w:type="dxa" w:w="28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000000"/>
                <w:sz w:val="26"/>
              </w:rPr>
              <w:t>จำนวนผู้ป่วย/สถานะ</w:t>
            </w:r>
          </w:p>
        </w:tc>
      </w:tr>
      <w:tr>
        <w:trPr>
          <w:trHeight w:hRule="auto"/>
        </w:trPr>
        <w:tc>
          <w:tcPr>
            <w:tcW w:type="dxa" w:w="18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พังผืดตับ F0-F4</w:t>
            </w:r>
          </w:p>
        </w:tc>
        <w:tc>
          <w:tcPr>
            <w:tcW w:type="dxa" w:w="284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Kaggle: Liver Fibrosis Severity Prediction</w:t>
              <w:br/>
              <w:t>train.csv และภาพอัลตราซาวด์</w:t>
            </w:r>
          </w:p>
        </w:tc>
        <w:tc>
          <w:tcPr>
            <w:tcW w:type="dxa" w:w="19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1,772 ภาพ</w:t>
              <w:br/>
              <w:t>730 ครั้งตรวจ</w:t>
            </w:r>
          </w:p>
        </w:tc>
        <w:tc>
          <w:tcPr>
            <w:tcW w:type="dxa" w:w="28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ระบุผู้ป่วยไม่ได้</w:t>
              <w:br/>
              <w:t>มี 528 รหัส subject/session</w:t>
            </w:r>
          </w:p>
        </w:tc>
      </w:tr>
      <w:tr>
        <w:trPr>
          <w:trHeight w:hRule="auto"/>
        </w:trPr>
        <w:tc>
          <w:tcPr>
            <w:tcW w:type="dxa" w:w="18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ก้อนตับและมะเร็งตับ</w:t>
            </w:r>
          </w:p>
        </w:tc>
        <w:tc>
          <w:tcPr>
            <w:tcW w:type="dxa" w:w="284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โฟลเดอร์ liver-lesion ภายในชุดข้อมูลเดียวกัน</w:t>
            </w:r>
          </w:p>
        </w:tc>
        <w:tc>
          <w:tcPr>
            <w:tcW w:type="dxa" w:w="19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7,222 ภาพติดป้าย</w:t>
              <w:br/>
              <w:t>8,709 bounding boxes</w:t>
            </w:r>
          </w:p>
        </w:tc>
        <w:tc>
          <w:tcPr>
            <w:tcW w:type="dxa" w:w="28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ระบุผู้ป่วยไม่ได้</w:t>
              <w:br/>
              <w:t>ไม่มี patient ID</w:t>
            </w:r>
          </w:p>
        </w:tc>
      </w:tr>
      <w:tr>
        <w:trPr>
          <w:trHeight w:hRule="auto"/>
        </w:trPr>
        <w:tc>
          <w:tcPr>
            <w:tcW w:type="dxa" w:w="18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ไขมันพอกตับ S0-S3</w:t>
            </w:r>
          </w:p>
        </w:tc>
        <w:tc>
          <w:tcPr>
            <w:tcW w:type="dxa" w:w="284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ไม่มีชุดข้อมูลฝึกเฉพาะโรค</w:t>
            </w:r>
          </w:p>
        </w:tc>
        <w:tc>
          <w:tcPr>
            <w:tcW w:type="dxa" w:w="19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0 ภาพฝึกเฉพาะโรค</w:t>
            </w:r>
          </w:p>
        </w:tc>
        <w:tc>
          <w:tcPr>
            <w:tcW w:type="dxa" w:w="28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ไม่เกี่ยวข้อง</w:t>
              <w:br/>
              <w:t>เป็นกฎคำนวณจากภาพ</w:t>
            </w:r>
          </w:p>
        </w:tc>
      </w:tr>
      <w:tr>
        <w:trPr>
          <w:trHeight w:hRule="auto"/>
        </w:trPr>
        <w:tc>
          <w:tcPr>
            <w:tcW w:type="dxa" w:w="18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พยาธิใบไม้ตับ/ความเสี่ยง CCA</w:t>
            </w:r>
          </w:p>
        </w:tc>
        <w:tc>
          <w:tcPr>
            <w:tcW w:type="dxa" w:w="284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ไม่มีชุดข้อมูลฝึกเฉพาะโรค</w:t>
            </w:r>
          </w:p>
        </w:tc>
        <w:tc>
          <w:tcPr>
            <w:tcW w:type="dxa" w:w="19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0 ภาพฝึกเฉพาะโรค</w:t>
            </w:r>
          </w:p>
        </w:tc>
        <w:tc>
          <w:tcPr>
            <w:tcW w:type="dxa" w:w="28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ไม่เกี่ยวข้อง</w:t>
              <w:br/>
              <w:t>เป็นกฎจากประวัติความเสี่ยง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TH SarabunPSK" w:hAnsi="TH SarabunPSK" w:eastAsia="TH SarabunPSK" w:cs="TH SarabunPSK"/>
          <w:b/>
          <w:i w:val="0"/>
          <w:color w:val="000000"/>
          <w:sz w:val="40"/>
        </w:rPr>
        <w:t>3. หลักเกณฑ์การนับ</w:t>
      </w:r>
    </w:p>
    <w:p>
      <w:pPr>
        <w:spacing w:before="0" w:after="100" w:line="264" w:lineRule="auto"/>
        <w:numPr>
          <w:ilvl w:val="0"/>
          <w:numId w:val="42"/>
        </w:numPr>
      </w:pP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ภาพ หมายถึงไฟล์ภาพหรือแถวข้อมูลที่มีชื่อภาพไม่ซ้ำในชุดฝึกที่ตรวจสอบได้</w:t>
      </w:r>
    </w:p>
    <w:p>
      <w:pPr>
        <w:spacing w:before="0" w:after="100" w:line="264" w:lineRule="auto"/>
        <w:numPr>
          <w:ilvl w:val="0"/>
          <w:numId w:val="42"/>
        </w:numPr>
      </w:pP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ครั้งตรวจ (exam) ใช้เฉพาะชุดพังผืด และเป็นหน่วยที่โครงการสร้างจากเวลาเก็บภาพร่วมกับค่า TE(kPa)</w:t>
      </w:r>
    </w:p>
    <w:p>
      <w:pPr>
        <w:spacing w:before="0" w:after="100" w:line="264" w:lineRule="auto"/>
        <w:numPr>
          <w:ilvl w:val="0"/>
          <w:numId w:val="42"/>
        </w:numPr>
      </w:pP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จะรายงานจำนวนผู้ป่วยต่อเมื่อมี patient ID ที่ยืนยันได้เท่านั้น ไม่อนุมานจากชื่อภาพหรือรหัส session</w:t>
      </w:r>
    </w:p>
    <w:p>
      <w:pPr>
        <w:spacing w:before="0" w:after="100" w:line="264" w:lineRule="auto"/>
        <w:numPr>
          <w:ilvl w:val="0"/>
          <w:numId w:val="42"/>
        </w:numPr>
      </w:pP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จำนวนภาพรายคลาสของชุดก้อนอาจรวมกันมากกว่าจำนวนภาพทั้งหมด เพราะหนึ่งภาพอาจมีก้อนมากกว่าหนึ่งชนิด</w:t>
      </w:r>
    </w:p>
    <w:p>
      <w:r>
        <w:br w:type="page"/>
      </w:r>
    </w:p>
    <w:p>
      <w:pPr>
        <w:pStyle w:val="Heading1"/>
        <w:keepNext/>
      </w:pPr>
      <w:r>
        <w:rPr>
          <w:rFonts w:ascii="TH SarabunPSK" w:hAnsi="TH SarabunPSK" w:eastAsia="TH SarabunPSK" w:cs="TH SarabunPSK"/>
          <w:b/>
          <w:i w:val="0"/>
          <w:color w:val="000000"/>
          <w:sz w:val="40"/>
        </w:rPr>
        <w:t>4. ชุดข้อมูลพังผืดตับ (Liver Fibrosis)</w:t>
      </w:r>
    </w:p>
    <w:p>
      <w:pPr>
        <w:pStyle w:val="Heading2"/>
        <w:keepNext/>
      </w:pPr>
      <w:r>
        <w:rPr>
          <w:rFonts w:ascii="TH SarabunPSK" w:hAnsi="TH SarabunPSK" w:eastAsia="TH SarabunPSK" w:cs="TH SarabunPSK"/>
          <w:b/>
          <w:i w:val="0"/>
          <w:color w:val="000000"/>
          <w:sz w:val="36"/>
        </w:rPr>
        <w:t>4.1 แหล่งที่มาและการใช้งาน</w:t>
      </w:r>
    </w:p>
    <w:p>
      <w:pPr>
        <w:spacing w:before="0" w:after="80" w:line="264" w:lineRule="auto"/>
      </w:pPr>
      <w:r>
        <w:rPr>
          <w:rFonts w:ascii="TH SarabunPSK" w:hAnsi="TH SarabunPSK" w:eastAsia="TH SarabunPSK" w:cs="TH SarabunPSK"/>
          <w:b/>
          <w:i w:val="0"/>
          <w:color w:val="000000"/>
          <w:sz w:val="32"/>
        </w:rPr>
        <w:t xml:space="preserve">ชื่อแหล่งข้อมูล: </w:t>
      </w: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Liver Fibrosis Severity Prediction</w:t>
      </w:r>
    </w:p>
    <w:p>
      <w:pPr>
        <w:spacing w:before="0" w:after="80" w:line="264" w:lineRule="auto"/>
      </w:pPr>
      <w:r>
        <w:rPr>
          <w:rFonts w:ascii="TH SarabunPSK" w:hAnsi="TH SarabunPSK" w:eastAsia="TH SarabunPSK" w:cs="TH SarabunPSK"/>
          <w:b/>
          <w:i w:val="0"/>
          <w:color w:val="000000"/>
          <w:sz w:val="32"/>
        </w:rPr>
        <w:t xml:space="preserve">ช่องทางเผยแพร่: </w:t>
      </w: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Kaggle Competition (หน้าโครงการต้องเข้าสู่ระบบ)</w:t>
      </w:r>
    </w:p>
    <w:p>
      <w:pPr>
        <w:spacing w:before="0" w:after="80" w:line="264" w:lineRule="auto"/>
      </w:pPr>
      <w:r>
        <w:rPr>
          <w:rFonts w:ascii="TH SarabunPSK" w:hAnsi="TH SarabunPSK" w:eastAsia="TH SarabunPSK" w:cs="TH SarabunPSK"/>
          <w:b/>
          <w:i w:val="0"/>
          <w:color w:val="000000"/>
          <w:sz w:val="32"/>
        </w:rPr>
        <w:t xml:space="preserve">ตำแหน่งในโครงการ: </w:t>
      </w: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data/liver-fibrosis-severity-prediction/</w:t>
      </w:r>
    </w:p>
    <w:p>
      <w:pPr>
        <w:spacing w:before="0" w:after="80" w:line="264" w:lineRule="auto"/>
      </w:pPr>
      <w:r>
        <w:rPr>
          <w:rFonts w:ascii="TH SarabunPSK" w:hAnsi="TH SarabunPSK" w:eastAsia="TH SarabunPSK" w:cs="TH SarabunPSK"/>
          <w:b/>
          <w:i w:val="0"/>
          <w:color w:val="000000"/>
          <w:sz w:val="32"/>
        </w:rPr>
        <w:t xml:space="preserve">เป้าหมาย: </w:t>
      </w: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ฝึกโมเดลจัดระดับพังผืด F0-F4 และประมาณค่าความแข็งของตับ TE(kPa)</w:t>
      </w:r>
    </w:p>
    <w:p>
      <w:pPr>
        <w:keepNext w:val="0"/>
        <w:spacing w:before="0" w:after="120" w:line="264" w:lineRule="auto"/>
        <w:jc w:val="left"/>
      </w:pP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ชุดฝึกมี 1,772 ภาพ ครอบคลุม 730 ครั้งตรวจ และ 528 รหัส subject/session แบ่งเป็นมุม Intercostal 598 ภาพ, Liver/RK 588 ภาพ และ Subcostal hepatic vein 586 ภาพ</w:t>
      </w:r>
    </w:p>
    <w:p>
      <w:pPr>
        <w:pStyle w:val="Heading2"/>
        <w:keepNext/>
      </w:pPr>
      <w:r>
        <w:rPr>
          <w:rFonts w:ascii="TH SarabunPSK" w:hAnsi="TH SarabunPSK" w:eastAsia="TH SarabunPSK" w:cs="TH SarabunPSK"/>
          <w:b/>
          <w:i w:val="0"/>
          <w:color w:val="000000"/>
          <w:sz w:val="36"/>
        </w:rPr>
        <w:t>4.2 จำนวนภาพและครั้งตรวจจำแนกตามระดับ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1900"/>
        <w:gridCol w:w="2200"/>
        <w:gridCol w:w="4060"/>
      </w:tblGrid>
      <w:tr>
        <w:trPr>
          <w:tblHeader w:val="true"/>
        </w:trPr>
        <w:tc>
          <w:tcPr>
            <w:tcW w:type="dxa" w:w="12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000000"/>
                <w:sz w:val="28"/>
              </w:rPr>
              <w:t>ระดับ</w:t>
            </w:r>
          </w:p>
        </w:tc>
        <w:tc>
          <w:tcPr>
            <w:tcW w:type="dxa" w:w="19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000000"/>
                <w:sz w:val="28"/>
              </w:rPr>
              <w:t>จำนวนภาพ</w:t>
            </w:r>
          </w:p>
        </w:tc>
        <w:tc>
          <w:tcPr>
            <w:tcW w:type="dxa" w:w="22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000000"/>
                <w:sz w:val="28"/>
              </w:rPr>
              <w:t>จำนวนครั้งตรวจ</w:t>
            </w:r>
          </w:p>
        </w:tc>
        <w:tc>
          <w:tcPr>
            <w:tcW w:type="dxa" w:w="40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000000"/>
                <w:sz w:val="28"/>
              </w:rPr>
              <w:t>ช่วง TE(kPa) ที่พบ</w:t>
            </w:r>
          </w:p>
        </w:tc>
      </w:tr>
      <w:tr>
        <w:trPr>
          <w:trHeight w:hRule="auto"/>
        </w:trPr>
        <w:tc>
          <w:tcPr>
            <w:tcW w:type="dxa" w:w="12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F0</w:t>
            </w:r>
          </w:p>
        </w:tc>
        <w:tc>
          <w:tcPr>
            <w:tcW w:type="dxa" w:w="19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1,256</w:t>
            </w:r>
          </w:p>
        </w:tc>
        <w:tc>
          <w:tcPr>
            <w:tcW w:type="dxa" w:w="22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497</w:t>
            </w:r>
          </w:p>
        </w:tc>
        <w:tc>
          <w:tcPr>
            <w:tcW w:type="dxa" w:w="40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2.4-5.9</w:t>
            </w:r>
          </w:p>
        </w:tc>
      </w:tr>
      <w:tr>
        <w:trPr>
          <w:trHeight w:hRule="auto"/>
        </w:trPr>
        <w:tc>
          <w:tcPr>
            <w:tcW w:type="dxa" w:w="12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F1</w:t>
            </w:r>
          </w:p>
        </w:tc>
        <w:tc>
          <w:tcPr>
            <w:tcW w:type="dxa" w:w="19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236</w:t>
            </w:r>
          </w:p>
        </w:tc>
        <w:tc>
          <w:tcPr>
            <w:tcW w:type="dxa" w:w="22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105</w:t>
            </w:r>
          </w:p>
        </w:tc>
        <w:tc>
          <w:tcPr>
            <w:tcW w:type="dxa" w:w="40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6.0-7.0</w:t>
            </w:r>
          </w:p>
        </w:tc>
      </w:tr>
      <w:tr>
        <w:trPr>
          <w:trHeight w:hRule="auto"/>
        </w:trPr>
        <w:tc>
          <w:tcPr>
            <w:tcW w:type="dxa" w:w="12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F2</w:t>
            </w:r>
          </w:p>
        </w:tc>
        <w:tc>
          <w:tcPr>
            <w:tcW w:type="dxa" w:w="19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108</w:t>
            </w:r>
          </w:p>
        </w:tc>
        <w:tc>
          <w:tcPr>
            <w:tcW w:type="dxa" w:w="22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48</w:t>
            </w:r>
          </w:p>
        </w:tc>
        <w:tc>
          <w:tcPr>
            <w:tcW w:type="dxa" w:w="40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7.1-8.6</w:t>
            </w:r>
          </w:p>
        </w:tc>
      </w:tr>
      <w:tr>
        <w:trPr>
          <w:trHeight w:hRule="auto"/>
        </w:trPr>
        <w:tc>
          <w:tcPr>
            <w:tcW w:type="dxa" w:w="12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F3</w:t>
            </w:r>
          </w:p>
        </w:tc>
        <w:tc>
          <w:tcPr>
            <w:tcW w:type="dxa" w:w="19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69</w:t>
            </w:r>
          </w:p>
        </w:tc>
        <w:tc>
          <w:tcPr>
            <w:tcW w:type="dxa" w:w="22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37</w:t>
            </w:r>
          </w:p>
        </w:tc>
        <w:tc>
          <w:tcPr>
            <w:tcW w:type="dxa" w:w="40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8.7-10.2</w:t>
            </w:r>
          </w:p>
        </w:tc>
      </w:tr>
      <w:tr>
        <w:trPr>
          <w:trHeight w:hRule="auto"/>
        </w:trPr>
        <w:tc>
          <w:tcPr>
            <w:tcW w:type="dxa" w:w="12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F4</w:t>
            </w:r>
          </w:p>
        </w:tc>
        <w:tc>
          <w:tcPr>
            <w:tcW w:type="dxa" w:w="19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103</w:t>
            </w:r>
          </w:p>
        </w:tc>
        <w:tc>
          <w:tcPr>
            <w:tcW w:type="dxa" w:w="22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43</w:t>
            </w:r>
          </w:p>
        </w:tc>
        <w:tc>
          <w:tcPr>
            <w:tcW w:type="dxa" w:w="40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10.3-46.0</w:t>
            </w:r>
          </w:p>
        </w:tc>
      </w:tr>
    </w:tbl>
    <w:p>
      <w:pPr>
        <w:spacing w:after="0"/>
      </w:pPr>
    </w:p>
    <w:p>
      <w:pPr>
        <w:keepNext w:val="0"/>
        <w:spacing w:before="0" w:after="120" w:line="264" w:lineRule="auto"/>
        <w:jc w:val="left"/>
      </w:pPr>
      <w:r>
        <w:rPr>
          <w:rFonts w:ascii="TH SarabunPSK" w:hAnsi="TH SarabunPSK" w:eastAsia="TH SarabunPSK" w:cs="TH SarabunPSK"/>
          <w:b w:val="0"/>
          <w:i/>
          <w:color w:val="000000"/>
          <w:sz w:val="32"/>
        </w:rPr>
        <w:t>มีภาพ blind test อีก 433 ภาพ แต่ไม่มี target label จึงไม่รวมเป็นข้อมูลฝึกหรือข้อมูลประเมินในตารางข้างต้น</w:t>
      </w:r>
    </w:p>
    <w:p>
      <w:pPr>
        <w:pStyle w:val="Heading2"/>
        <w:keepNext/>
      </w:pPr>
      <w:r>
        <w:rPr>
          <w:rFonts w:ascii="TH SarabunPSK" w:hAnsi="TH SarabunPSK" w:eastAsia="TH SarabunPSK" w:cs="TH SarabunPSK"/>
          <w:b/>
          <w:i w:val="0"/>
          <w:color w:val="000000"/>
          <w:sz w:val="36"/>
        </w:rPr>
        <w:t>4.3 ข้อจำกัดเรื่องจำนวนผู้ป่วย</w:t>
      </w:r>
    </w:p>
    <w:p>
      <w:pPr>
        <w:keepNext w:val="0"/>
        <w:spacing w:before="0" w:after="120" w:line="264" w:lineRule="auto"/>
        <w:jc w:val="left"/>
      </w:pPr>
      <w:r>
        <w:rPr>
          <w:rFonts w:ascii="TH SarabunPSK" w:hAnsi="TH SarabunPSK" w:eastAsia="TH SarabunPSK" w:cs="TH SarabunPSK"/>
          <w:b/>
          <w:i w:val="0"/>
          <w:color w:val="000000"/>
          <w:sz w:val="32"/>
        </w:rPr>
        <w:t>ไม่สามารถระบุจำนวนผู้ป่วยจริงได้จากข้อมูลต้นทาง เนื่องจากคอลัมน์ subject เป็นรหัส session/วันตรวจ ไม่ใช่ patient ID โครงการพบว่า 113 รหัส subject มีค่า kPa มากกว่าหนึ่งค่า และบาง session อาจมีผู้ป่วยมากกว่าหนึ่งราย จึงห้ามรายงาน 528 เป็นจำนวนผู้ป่วย</w:t>
      </w:r>
    </w:p>
    <w:p>
      <w:r>
        <w:br w:type="page"/>
      </w:r>
    </w:p>
    <w:p>
      <w:pPr>
        <w:pStyle w:val="Heading1"/>
        <w:keepNext/>
      </w:pPr>
      <w:r>
        <w:rPr>
          <w:rFonts w:ascii="TH SarabunPSK" w:hAnsi="TH SarabunPSK" w:eastAsia="TH SarabunPSK" w:cs="TH SarabunPSK"/>
          <w:b/>
          <w:i w:val="0"/>
          <w:color w:val="000000"/>
          <w:sz w:val="40"/>
        </w:rPr>
        <w:t>5. ชุดข้อมูลก้อนตับและมะเร็งตับ (Focal Liver Lesions)</w:t>
      </w:r>
    </w:p>
    <w:p>
      <w:pPr>
        <w:pStyle w:val="Heading2"/>
        <w:keepNext/>
      </w:pPr>
      <w:r>
        <w:rPr>
          <w:rFonts w:ascii="TH SarabunPSK" w:hAnsi="TH SarabunPSK" w:eastAsia="TH SarabunPSK" w:cs="TH SarabunPSK"/>
          <w:b/>
          <w:i w:val="0"/>
          <w:color w:val="000000"/>
          <w:sz w:val="36"/>
        </w:rPr>
        <w:t>5.1 แหล่งที่มาและข้อมูลที่ใช้จริง</w:t>
      </w:r>
    </w:p>
    <w:p>
      <w:pPr>
        <w:spacing w:before="0" w:after="80" w:line="264" w:lineRule="auto"/>
      </w:pPr>
      <w:r>
        <w:rPr>
          <w:rFonts w:ascii="TH SarabunPSK" w:hAnsi="TH SarabunPSK" w:eastAsia="TH SarabunPSK" w:cs="TH SarabunPSK"/>
          <w:b/>
          <w:i w:val="0"/>
          <w:color w:val="000000"/>
          <w:sz w:val="32"/>
        </w:rPr>
        <w:t xml:space="preserve">ตำแหน่งต้นทาง: </w:t>
      </w: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data/liver-fibrosis-severity-prediction/liver-lesion/</w:t>
      </w:r>
    </w:p>
    <w:p>
      <w:pPr>
        <w:spacing w:before="0" w:after="80" w:line="264" w:lineRule="auto"/>
      </w:pPr>
      <w:r>
        <w:rPr>
          <w:rFonts w:ascii="TH SarabunPSK" w:hAnsi="TH SarabunPSK" w:eastAsia="TH SarabunPSK" w:cs="TH SarabunPSK"/>
          <w:b/>
          <w:i w:val="0"/>
          <w:color w:val="000000"/>
          <w:sz w:val="32"/>
        </w:rPr>
        <w:t xml:space="preserve">โมเดล: </w:t>
      </w: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YOLOv8 สำหรับตรวจจับก้อน 7 กลุ่ม</w:t>
      </w:r>
    </w:p>
    <w:p>
      <w:pPr>
        <w:keepNext w:val="0"/>
        <w:spacing w:before="0" w:after="120" w:line="264" w:lineRule="auto"/>
        <w:jc w:val="left"/>
      </w:pP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แหล่งต้นทางมีภาพ 14,448 ภาพ และไฟล์ annotation 7,222 ไฟล์ การฝึกใช้เฉพาะคู่ภาพ-annotation ที่จับคู่ได้ 7,222 ภาพ แบ่งแบบสุ่มระดับภาพเป็น train 6,138 ภาพ และ validation 1,084 ภาพ โดยไม่มี test split แยกต่างหาก</w:t>
      </w:r>
    </w:p>
    <w:p>
      <w:pPr>
        <w:keepNext w:val="0"/>
        <w:spacing w:before="0" w:after="120" w:line="264" w:lineRule="auto"/>
        <w:jc w:val="left"/>
      </w:pPr>
      <w:r>
        <w:rPr>
          <w:rFonts w:ascii="TH SarabunPSK" w:hAnsi="TH SarabunPSK" w:eastAsia="TH SarabunPSK" w:cs="TH SarabunPSK"/>
          <w:b/>
          <w:i w:val="0"/>
          <w:color w:val="000000"/>
          <w:sz w:val="32"/>
        </w:rPr>
        <w:t>โครงการไม่เก็บ patient ID ของชุดนี้ จึงไม่สามารถนับผู้ป่วยหรือยืนยันการแยก train/validation ระดับผู้ป่วยได้ ชื่อหน้าเผยแพร่และเงื่อนไขสิทธิ์ของส่วน liver-lesion ไม่ได้บันทึกแยกไว้ใน repository และควรให้เจ้าของข้อมูลเติมก่อนนำรายงานไปใช้อ้างอิงภายนอก</w:t>
      </w:r>
    </w:p>
    <w:p>
      <w:pPr>
        <w:pStyle w:val="Heading2"/>
        <w:keepNext/>
      </w:pPr>
      <w:r>
        <w:rPr>
          <w:rFonts w:ascii="TH SarabunPSK" w:hAnsi="TH SarabunPSK" w:eastAsia="TH SarabunPSK" w:cs="TH SarabunPSK"/>
          <w:b/>
          <w:i w:val="0"/>
          <w:color w:val="000000"/>
          <w:sz w:val="36"/>
        </w:rPr>
        <w:t>5.2 การกระจายคลาส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460"/>
        <w:gridCol w:w="2300"/>
        <w:gridCol w:w="2600"/>
      </w:tblGrid>
      <w:tr>
        <w:trPr>
          <w:tblHeader w:val="true"/>
        </w:trPr>
        <w:tc>
          <w:tcPr>
            <w:tcW w:type="dxa" w:w="44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000000"/>
                <w:sz w:val="28"/>
              </w:rPr>
              <w:t>คลาส</w:t>
            </w:r>
          </w:p>
        </w:tc>
        <w:tc>
          <w:tcPr>
            <w:tcW w:type="dxa" w:w="23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000000"/>
                <w:sz w:val="28"/>
              </w:rPr>
              <w:t>ภาพที่มีคลาสนั้น</w:t>
            </w:r>
          </w:p>
        </w:tc>
        <w:tc>
          <w:tcPr>
            <w:tcW w:type="dxa" w:w="26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000000"/>
                <w:sz w:val="28"/>
              </w:rPr>
              <w:t>จำนวน bounding boxes</w:t>
            </w:r>
          </w:p>
        </w:tc>
      </w:tr>
      <w:tr>
        <w:trPr>
          <w:trHeight w:hRule="auto"/>
        </w:trPr>
        <w:tc>
          <w:tcPr>
            <w:tcW w:type="dxa" w:w="44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Hemangioma</w:t>
            </w:r>
          </w:p>
        </w:tc>
        <w:tc>
          <w:tcPr>
            <w:tcW w:type="dxa" w:w="23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858</w:t>
            </w:r>
          </w:p>
        </w:tc>
        <w:tc>
          <w:tcPr>
            <w:tcW w:type="dxa" w:w="26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962</w:t>
            </w:r>
          </w:p>
        </w:tc>
      </w:tr>
      <w:tr>
        <w:trPr>
          <w:trHeight w:hRule="auto"/>
        </w:trPr>
        <w:tc>
          <w:tcPr>
            <w:tcW w:type="dxa" w:w="44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Cyst</w:t>
            </w:r>
          </w:p>
        </w:tc>
        <w:tc>
          <w:tcPr>
            <w:tcW w:type="dxa" w:w="23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1,522</w:t>
            </w:r>
          </w:p>
        </w:tc>
        <w:tc>
          <w:tcPr>
            <w:tcW w:type="dxa" w:w="26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1,806</w:t>
            </w:r>
          </w:p>
        </w:tc>
      </w:tr>
      <w:tr>
        <w:trPr>
          <w:trHeight w:hRule="auto"/>
        </w:trPr>
        <w:tc>
          <w:tcPr>
            <w:tcW w:type="dxa" w:w="44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Calcification</w:t>
            </w:r>
          </w:p>
        </w:tc>
        <w:tc>
          <w:tcPr>
            <w:tcW w:type="dxa" w:w="23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1,592</w:t>
            </w:r>
          </w:p>
        </w:tc>
        <w:tc>
          <w:tcPr>
            <w:tcW w:type="dxa" w:w="26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1,740</w:t>
            </w:r>
          </w:p>
        </w:tc>
      </w:tr>
      <w:tr>
        <w:trPr>
          <w:trHeight w:hRule="auto"/>
        </w:trPr>
        <w:tc>
          <w:tcPr>
            <w:tcW w:type="dxa" w:w="44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Metastasis</w:t>
            </w:r>
          </w:p>
        </w:tc>
        <w:tc>
          <w:tcPr>
            <w:tcW w:type="dxa" w:w="23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1,244</w:t>
            </w:r>
          </w:p>
        </w:tc>
        <w:tc>
          <w:tcPr>
            <w:tcW w:type="dxa" w:w="26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1,358</w:t>
            </w:r>
          </w:p>
        </w:tc>
      </w:tr>
      <w:tr>
        <w:trPr>
          <w:trHeight w:hRule="auto"/>
        </w:trPr>
        <w:tc>
          <w:tcPr>
            <w:tcW w:type="dxa" w:w="44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HCC</w:t>
            </w:r>
          </w:p>
        </w:tc>
        <w:tc>
          <w:tcPr>
            <w:tcW w:type="dxa" w:w="23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1,330</w:t>
            </w:r>
          </w:p>
        </w:tc>
        <w:tc>
          <w:tcPr>
            <w:tcW w:type="dxa" w:w="26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1,342</w:t>
            </w:r>
          </w:p>
        </w:tc>
      </w:tr>
      <w:tr>
        <w:trPr>
          <w:trHeight w:hRule="auto"/>
        </w:trPr>
        <w:tc>
          <w:tcPr>
            <w:tcW w:type="dxa" w:w="44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CCA</w:t>
            </w:r>
          </w:p>
        </w:tc>
        <w:tc>
          <w:tcPr>
            <w:tcW w:type="dxa" w:w="23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587</w:t>
            </w:r>
          </w:p>
        </w:tc>
        <w:tc>
          <w:tcPr>
            <w:tcW w:type="dxa" w:w="26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626</w:t>
            </w:r>
          </w:p>
        </w:tc>
      </w:tr>
      <w:tr>
        <w:trPr>
          <w:trHeight w:hRule="auto"/>
        </w:trPr>
        <w:tc>
          <w:tcPr>
            <w:tcW w:type="dxa" w:w="44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Focal Fatty Change (FFC)</w:t>
            </w:r>
          </w:p>
        </w:tc>
        <w:tc>
          <w:tcPr>
            <w:tcW w:type="dxa" w:w="23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187</w:t>
            </w:r>
          </w:p>
        </w:tc>
        <w:tc>
          <w:tcPr>
            <w:tcW w:type="dxa" w:w="26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875</w:t>
            </w:r>
          </w:p>
        </w:tc>
      </w:tr>
      <w:tr>
        <w:trPr>
          <w:trHeight w:hRule="auto"/>
        </w:trPr>
        <w:tc>
          <w:tcPr>
            <w:tcW w:type="dxa" w:w="44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รวม</w:t>
            </w:r>
          </w:p>
        </w:tc>
        <w:tc>
          <w:tcPr>
            <w:tcW w:type="dxa" w:w="23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7,222 ภาพไม่ซ้ำ</w:t>
            </w:r>
          </w:p>
        </w:tc>
        <w:tc>
          <w:tcPr>
            <w:tcW w:type="dxa" w:w="26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8,709</w:t>
            </w:r>
          </w:p>
        </w:tc>
      </w:tr>
    </w:tbl>
    <w:p>
      <w:pPr>
        <w:spacing w:after="0"/>
      </w:pPr>
    </w:p>
    <w:p>
      <w:pPr>
        <w:keepNext w:val="0"/>
        <w:spacing w:before="0" w:after="120" w:line="264" w:lineRule="auto"/>
        <w:jc w:val="left"/>
      </w:pPr>
      <w:r>
        <w:rPr>
          <w:rFonts w:ascii="TH SarabunPSK" w:hAnsi="TH SarabunPSK" w:eastAsia="TH SarabunPSK" w:cs="TH SarabunPSK"/>
          <w:b w:val="0"/>
          <w:i/>
          <w:color w:val="000000"/>
          <w:sz w:val="32"/>
        </w:rPr>
        <w:t>หมายเหตุ: หนึ่งภาพอาจมีหลายคลาสหรือหลายตำแหน่งก้อน ดังนั้นผลรวมคอลัมน์ “ภาพที่มีคลาสนั้น” ไม่เท่ากับจำนวนภาพไม่ซ้ำ</w:t>
      </w:r>
    </w:p>
    <w:p>
      <w:r>
        <w:br w:type="page"/>
      </w:r>
    </w:p>
    <w:p>
      <w:pPr>
        <w:pStyle w:val="Heading1"/>
        <w:keepNext/>
      </w:pPr>
      <w:r>
        <w:rPr>
          <w:rFonts w:ascii="TH SarabunPSK" w:hAnsi="TH SarabunPSK" w:eastAsia="TH SarabunPSK" w:cs="TH SarabunPSK"/>
          <w:b/>
          <w:i w:val="0"/>
          <w:color w:val="000000"/>
          <w:sz w:val="40"/>
        </w:rPr>
        <w:t>6. โมดูลไขมันพอกตับ (Hepatic Steatosis)</w:t>
      </w:r>
    </w:p>
    <w:p>
      <w:pPr>
        <w:spacing w:before="0" w:after="80" w:line="264" w:lineRule="auto"/>
      </w:pPr>
      <w:r>
        <w:rPr>
          <w:rFonts w:ascii="TH SarabunPSK" w:hAnsi="TH SarabunPSK" w:eastAsia="TH SarabunPSK" w:cs="TH SarabunPSK"/>
          <w:b/>
          <w:i w:val="0"/>
          <w:color w:val="000000"/>
          <w:sz w:val="32"/>
        </w:rPr>
        <w:t xml:space="preserve">จำนวนภาพฝึกเฉพาะโรค: </w:t>
      </w: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0 ภาพ</w:t>
      </w:r>
    </w:p>
    <w:p>
      <w:pPr>
        <w:spacing w:before="0" w:after="80" w:line="264" w:lineRule="auto"/>
      </w:pPr>
      <w:r>
        <w:rPr>
          <w:rFonts w:ascii="TH SarabunPSK" w:hAnsi="TH SarabunPSK" w:eastAsia="TH SarabunPSK" w:cs="TH SarabunPSK"/>
          <w:b/>
          <w:i w:val="0"/>
          <w:color w:val="000000"/>
          <w:sz w:val="32"/>
        </w:rPr>
        <w:t xml:space="preserve">จำนวนผู้ป่วยฝึกเฉพาะโรค: </w:t>
      </w: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ไม่มี/ไม่เกี่ยวข้อง</w:t>
      </w:r>
    </w:p>
    <w:p>
      <w:pPr>
        <w:spacing w:before="0" w:after="80" w:line="264" w:lineRule="auto"/>
      </w:pPr>
      <w:r>
        <w:rPr>
          <w:rFonts w:ascii="TH SarabunPSK" w:hAnsi="TH SarabunPSK" w:eastAsia="TH SarabunPSK" w:cs="TH SarabunPSK"/>
          <w:b/>
          <w:i w:val="0"/>
          <w:color w:val="000000"/>
          <w:sz w:val="32"/>
        </w:rPr>
        <w:t xml:space="preserve">สถานะทางเทคนิค: </w:t>
      </w: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Rule-based image analysis ไม่ใช่โมเดลที่ผ่านการฝึกด้วย steatosis label</w:t>
      </w:r>
    </w:p>
    <w:p>
      <w:pPr>
        <w:keepNext w:val="0"/>
        <w:spacing w:before="0" w:after="120" w:line="264" w:lineRule="auto"/>
        <w:jc w:val="left"/>
      </w:pP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โมดูลคำนวณอัตราการลดทอนความเข้มระหว่างเนื้อตับส่วนตื้นและส่วนลึก ค่าเฉลี่ยความสว่าง และผลตรวจ FFC/FFS จาก lesion detector แล้วเปรียบเทียบกับ threshold ที่กำหนดในโค้ดเพื่อให้ผล S0-S3 ปัจจุบันไม่มี dataset ที่มี ground truth ระดับ steatosis, ไม่มี patient cohort สำหรับการฝึก และไม่มีหลักฐานการ calibrate threshold จากผู้ป่วย</w:t>
      </w:r>
    </w:p>
    <w:p>
      <w:pPr>
        <w:pStyle w:val="Heading1"/>
        <w:keepNext/>
      </w:pPr>
      <w:r>
        <w:rPr>
          <w:rFonts w:ascii="TH SarabunPSK" w:hAnsi="TH SarabunPSK" w:eastAsia="TH SarabunPSK" w:cs="TH SarabunPSK"/>
          <w:b/>
          <w:i w:val="0"/>
          <w:color w:val="000000"/>
          <w:sz w:val="40"/>
        </w:rPr>
        <w:t>7. โมดูลพยาธิใบไม้ตับและความเสี่ยงมะเร็งท่อน้ำดี</w:t>
      </w:r>
    </w:p>
    <w:p>
      <w:pPr>
        <w:spacing w:before="0" w:after="80" w:line="264" w:lineRule="auto"/>
      </w:pPr>
      <w:r>
        <w:rPr>
          <w:rFonts w:ascii="TH SarabunPSK" w:hAnsi="TH SarabunPSK" w:eastAsia="TH SarabunPSK" w:cs="TH SarabunPSK"/>
          <w:b/>
          <w:i w:val="0"/>
          <w:color w:val="000000"/>
          <w:sz w:val="32"/>
        </w:rPr>
        <w:t xml:space="preserve">จำนวนภาพฝึกเฉพาะโรค: </w:t>
      </w: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0 ภาพ</w:t>
      </w:r>
    </w:p>
    <w:p>
      <w:pPr>
        <w:spacing w:before="0" w:after="80" w:line="264" w:lineRule="auto"/>
      </w:pPr>
      <w:r>
        <w:rPr>
          <w:rFonts w:ascii="TH SarabunPSK" w:hAnsi="TH SarabunPSK" w:eastAsia="TH SarabunPSK" w:cs="TH SarabunPSK"/>
          <w:b/>
          <w:i w:val="0"/>
          <w:color w:val="000000"/>
          <w:sz w:val="32"/>
        </w:rPr>
        <w:t xml:space="preserve">จำนวนผู้ป่วยฝึกเฉพาะโรค: </w:t>
      </w: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ไม่มี/ไม่เกี่ยวข้อง</w:t>
      </w:r>
    </w:p>
    <w:p>
      <w:pPr>
        <w:spacing w:before="0" w:after="80" w:line="264" w:lineRule="auto"/>
      </w:pPr>
      <w:r>
        <w:rPr>
          <w:rFonts w:ascii="TH SarabunPSK" w:hAnsi="TH SarabunPSK" w:eastAsia="TH SarabunPSK" w:cs="TH SarabunPSK"/>
          <w:b/>
          <w:i w:val="0"/>
          <w:color w:val="000000"/>
          <w:sz w:val="32"/>
        </w:rPr>
        <w:t xml:space="preserve">สถานะทางเทคนิค: </w:t>
      </w: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Rule-based risk score จากประวัติผู้ป่วย</w:t>
      </w:r>
    </w:p>
    <w:p>
      <w:pPr>
        <w:keepNext w:val="0"/>
        <w:spacing w:before="0" w:after="120" w:line="264" w:lineRule="auto"/>
        <w:jc w:val="left"/>
      </w:pP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โมดูลเพิ่มคะแนนจากประวัติรับประทานปลาน้ำจืดดิบ ประวัติเคยติดพยาธิ และประวัติมะเร็งท่อน้ำดีในครอบครัว แม้โค้ดจะสร้างบริเวณ periportal บนภาพ แต่ยังไม่ได้คำนวณตัวชี้วัดจาก texture ของภาพจริง จึงไม่มีชุดข้อมูลภาพพยาธิใบไม้ตับที่ใช้ฝึกโมดูลนี้</w:t>
      </w:r>
    </w:p>
    <w:p>
      <w:pPr>
        <w:keepNext w:val="0"/>
        <w:spacing w:before="0" w:after="120" w:line="264" w:lineRule="auto"/>
        <w:jc w:val="left"/>
      </w:pPr>
      <w:r>
        <w:rPr>
          <w:rFonts w:ascii="TH SarabunPSK" w:hAnsi="TH SarabunPSK" w:eastAsia="TH SarabunPSK" w:cs="TH SarabunPSK"/>
          <w:b/>
          <w:i w:val="0"/>
          <w:color w:val="000000"/>
          <w:sz w:val="32"/>
        </w:rPr>
        <w:t>ข้อควรแยกความหมาย: คลาส CCA ใน YOLO lesion detector มีข้อมูลฝึกตามหัวข้อ 5 แต่โมดูลความเสี่ยงพยาธิใบไม้ตับ/CCA ในหัวข้อนี้ไม่มีข้อมูลฝึก</w:t>
      </w:r>
    </w:p>
    <w:p>
      <w:r>
        <w:br w:type="page"/>
      </w:r>
    </w:p>
    <w:p>
      <w:pPr>
        <w:pStyle w:val="Heading1"/>
        <w:keepNext/>
      </w:pPr>
      <w:r>
        <w:rPr>
          <w:rFonts w:ascii="TH SarabunPSK" w:hAnsi="TH SarabunPSK" w:eastAsia="TH SarabunPSK" w:cs="TH SarabunPSK"/>
          <w:b/>
          <w:i w:val="0"/>
          <w:color w:val="000000"/>
          <w:sz w:val="40"/>
        </w:rPr>
        <w:t>8. ชุดข้อมูลสนับสนุนการระบุตับและแบ่งขอบเขตตับ</w:t>
      </w:r>
    </w:p>
    <w:p>
      <w:pPr>
        <w:keepNext w:val="0"/>
        <w:spacing w:before="0" w:after="120" w:line="264" w:lineRule="auto"/>
        <w:jc w:val="left"/>
      </w:pPr>
      <w:r>
        <w:rPr>
          <w:rFonts w:ascii="TH SarabunPSK" w:hAnsi="TH SarabunPSK" w:eastAsia="TH SarabunPSK" w:cs="TH SarabunPSK"/>
          <w:b w:val="0"/>
          <w:i/>
          <w:color w:val="000000"/>
          <w:sz w:val="32"/>
        </w:rPr>
        <w:t>ชุดข้อมูลในหัวข้อนี้ไม่ใช่ชุดฝึกโรคโดยตรง แต่มีผลต่อการคัดกรองว่าเป็นภาพตับและการกำหนดบริเวณตับก่อนส่งเข้าโมดูลโรค</w:t>
      </w:r>
    </w:p>
    <w:p>
      <w:pPr>
        <w:pStyle w:val="Heading2"/>
        <w:keepNext/>
      </w:pPr>
      <w:r>
        <w:rPr>
          <w:rFonts w:ascii="TH SarabunPSK" w:hAnsi="TH SarabunPSK" w:eastAsia="TH SarabunPSK" w:cs="TH SarabunPSK"/>
          <w:b/>
          <w:i w:val="0"/>
          <w:color w:val="000000"/>
          <w:sz w:val="36"/>
        </w:rPr>
        <w:t>8.1 Annotated Ultrasound Liver Images (Liver735)</w:t>
      </w:r>
    </w:p>
    <w:p>
      <w:pPr>
        <w:spacing w:before="0" w:after="80" w:line="264" w:lineRule="auto"/>
      </w:pPr>
      <w:r>
        <w:rPr>
          <w:rFonts w:ascii="TH SarabunPSK" w:hAnsi="TH SarabunPSK" w:eastAsia="TH SarabunPSK" w:cs="TH SarabunPSK"/>
          <w:b/>
          <w:i w:val="0"/>
          <w:color w:val="000000"/>
          <w:sz w:val="32"/>
        </w:rPr>
        <w:t xml:space="preserve">แหล่งเผยแพร่: </w:t>
      </w: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Zenodo, DOI 10.5281/zenodo.7272660</w:t>
      </w:r>
    </w:p>
    <w:p>
      <w:pPr>
        <w:spacing w:before="0" w:after="80" w:line="264" w:lineRule="auto"/>
      </w:pPr>
      <w:r>
        <w:rPr>
          <w:rFonts w:ascii="TH SarabunPSK" w:hAnsi="TH SarabunPSK" w:eastAsia="TH SarabunPSK" w:cs="TH SarabunPSK"/>
          <w:b/>
          <w:i w:val="0"/>
          <w:color w:val="000000"/>
          <w:sz w:val="32"/>
        </w:rPr>
        <w:t xml:space="preserve">ผู้จัดทำ: </w:t>
      </w: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Xu Yiming และคณะ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960"/>
        <w:gridCol w:w="2700"/>
        <w:gridCol w:w="2700"/>
      </w:tblGrid>
      <w:tr>
        <w:trPr>
          <w:tblHeader w:val="true"/>
        </w:trPr>
        <w:tc>
          <w:tcPr>
            <w:tcW w:type="dxa" w:w="39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000000"/>
                <w:sz w:val="28"/>
              </w:rPr>
              <w:t>กลุ่ม</w:t>
            </w:r>
          </w:p>
        </w:tc>
        <w:tc>
          <w:tcPr>
            <w:tcW w:type="dxa" w:w="27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000000"/>
                <w:sz w:val="28"/>
              </w:rPr>
              <w:t>จำนวนภาพต้นทาง</w:t>
            </w:r>
          </w:p>
        </w:tc>
        <w:tc>
          <w:tcPr>
            <w:tcW w:type="dxa" w:w="27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000000"/>
                <w:sz w:val="28"/>
              </w:rPr>
              <w:t>ภาพที่มี liver mask</w:t>
            </w:r>
          </w:p>
        </w:tc>
      </w:tr>
      <w:tr>
        <w:trPr>
          <w:trHeight w:hRule="auto"/>
        </w:trPr>
        <w:tc>
          <w:tcPr>
            <w:tcW w:type="dxa" w:w="39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Benign</w:t>
            </w:r>
          </w:p>
        </w:tc>
        <w:tc>
          <w:tcPr>
            <w:tcW w:type="dxa" w:w="27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200</w:t>
            </w:r>
          </w:p>
        </w:tc>
        <w:tc>
          <w:tcPr>
            <w:tcW w:type="dxa" w:w="27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200</w:t>
            </w:r>
          </w:p>
        </w:tc>
      </w:tr>
      <w:tr>
        <w:trPr>
          <w:trHeight w:hRule="auto"/>
        </w:trPr>
        <w:tc>
          <w:tcPr>
            <w:tcW w:type="dxa" w:w="39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Malignant</w:t>
            </w:r>
          </w:p>
        </w:tc>
        <w:tc>
          <w:tcPr>
            <w:tcW w:type="dxa" w:w="27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435</w:t>
            </w:r>
          </w:p>
        </w:tc>
        <w:tc>
          <w:tcPr>
            <w:tcW w:type="dxa" w:w="27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432</w:t>
            </w:r>
          </w:p>
        </w:tc>
      </w:tr>
      <w:tr>
        <w:trPr>
          <w:trHeight w:hRule="auto"/>
        </w:trPr>
        <w:tc>
          <w:tcPr>
            <w:tcW w:type="dxa" w:w="39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Normal</w:t>
            </w:r>
          </w:p>
        </w:tc>
        <w:tc>
          <w:tcPr>
            <w:tcW w:type="dxa" w:w="27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100</w:t>
            </w:r>
          </w:p>
        </w:tc>
        <w:tc>
          <w:tcPr>
            <w:tcW w:type="dxa" w:w="27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100</w:t>
            </w:r>
          </w:p>
        </w:tc>
      </w:tr>
      <w:tr>
        <w:trPr>
          <w:trHeight w:hRule="auto"/>
        </w:trPr>
        <w:tc>
          <w:tcPr>
            <w:tcW w:type="dxa" w:w="39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รวม</w:t>
            </w:r>
          </w:p>
        </w:tc>
        <w:tc>
          <w:tcPr>
            <w:tcW w:type="dxa" w:w="27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735</w:t>
            </w:r>
          </w:p>
        </w:tc>
        <w:tc>
          <w:tcPr>
            <w:tcW w:type="dxa" w:w="27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732</w:t>
            </w:r>
          </w:p>
        </w:tc>
      </w:tr>
    </w:tbl>
    <w:p>
      <w:pPr>
        <w:spacing w:after="0"/>
      </w:pPr>
    </w:p>
    <w:p>
      <w:pPr>
        <w:keepNext w:val="0"/>
        <w:spacing w:before="0" w:after="120" w:line="264" w:lineRule="auto"/>
        <w:jc w:val="left"/>
      </w:pP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ใช้คู่ภาพ-liver mask 732 คู่ในการเตรียม YOLO liver bounding-box dataset แบ่งเป็น train 585 ภาพ และ validation 147 ภาพ ไม่พบ patient ID จึงระบุจำนวนผู้ป่วยไม่ได้</w:t>
      </w:r>
    </w:p>
    <w:p>
      <w:pPr>
        <w:pStyle w:val="Heading2"/>
        <w:keepNext/>
      </w:pPr>
      <w:r>
        <w:rPr>
          <w:rFonts w:ascii="TH SarabunPSK" w:hAnsi="TH SarabunPSK" w:eastAsia="TH SarabunPSK" w:cs="TH SarabunPSK"/>
          <w:b/>
          <w:i w:val="0"/>
          <w:color w:val="000000"/>
          <w:sz w:val="36"/>
        </w:rPr>
        <w:t>8.2 ชุดข้อมูลภายใน Normal แยกบริเวณตรวจ</w:t>
      </w:r>
    </w:p>
    <w:p>
      <w:pPr>
        <w:spacing w:before="0" w:after="80" w:line="264" w:lineRule="auto"/>
      </w:pPr>
      <w:r>
        <w:rPr>
          <w:rFonts w:ascii="TH SarabunPSK" w:hAnsi="TH SarabunPSK" w:eastAsia="TH SarabunPSK" w:cs="TH SarabunPSK"/>
          <w:b/>
          <w:i w:val="0"/>
          <w:color w:val="000000"/>
          <w:sz w:val="32"/>
        </w:rPr>
        <w:t xml:space="preserve">แหล่งที่มา: </w:t>
      </w: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ชุดข้อมูลภายในโครงการ; repository ไม่ระบุโรงพยาบาล เจ้าของข้อมูล หรือเลขอนุมัติการใช้ข้อมูล</w:t>
      </w:r>
    </w:p>
    <w:p>
      <w:pPr>
        <w:spacing w:before="0" w:after="80" w:line="264" w:lineRule="auto"/>
      </w:pPr>
      <w:r>
        <w:rPr>
          <w:rFonts w:ascii="TH SarabunPSK" w:hAnsi="TH SarabunPSK" w:eastAsia="TH SarabunPSK" w:cs="TH SarabunPSK"/>
          <w:b/>
          <w:i w:val="0"/>
          <w:color w:val="000000"/>
          <w:sz w:val="32"/>
        </w:rPr>
        <w:t xml:space="preserve">ปริมาณรวม: </w:t>
      </w: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10,507 ภาพ จาก 2,415 โฟลเดอร์รหัสผู้ป่วย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1900"/>
        <w:gridCol w:w="2200"/>
        <w:gridCol w:w="3160"/>
      </w:tblGrid>
      <w:tr>
        <w:trPr>
          <w:tblHeader w:val="true"/>
        </w:trPr>
        <w:tc>
          <w:tcPr>
            <w:tcW w:type="dxa" w:w="21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000000"/>
                <w:sz w:val="26"/>
              </w:rPr>
              <w:t>ชุดแบ่ง</w:t>
            </w:r>
          </w:p>
        </w:tc>
        <w:tc>
          <w:tcPr>
            <w:tcW w:type="dxa" w:w="19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000000"/>
                <w:sz w:val="26"/>
              </w:rPr>
              <w:t>จำนวนภาพ</w:t>
            </w:r>
          </w:p>
        </w:tc>
        <w:tc>
          <w:tcPr>
            <w:tcW w:type="dxa" w:w="22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000000"/>
                <w:sz w:val="26"/>
              </w:rPr>
              <w:t>รหัสผู้ป่วย</w:t>
            </w:r>
          </w:p>
        </w:tc>
        <w:tc>
          <w:tcPr>
            <w:tcW w:type="dxa" w:w="31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000000"/>
                <w:sz w:val="26"/>
              </w:rPr>
              <w:t>ภาพที่มี liver annotation</w:t>
            </w:r>
          </w:p>
        </w:tc>
      </w:tr>
      <w:tr>
        <w:trPr>
          <w:trHeight w:hRule="auto"/>
        </w:trPr>
        <w:tc>
          <w:tcPr>
            <w:tcW w:type="dxa" w:w="21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Train</w:t>
            </w:r>
          </w:p>
        </w:tc>
        <w:tc>
          <w:tcPr>
            <w:tcW w:type="dxa" w:w="19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7,506</w:t>
            </w:r>
          </w:p>
        </w:tc>
        <w:tc>
          <w:tcPr>
            <w:tcW w:type="dxa" w:w="22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1,723</w:t>
            </w:r>
          </w:p>
        </w:tc>
        <w:tc>
          <w:tcPr>
            <w:tcW w:type="dxa" w:w="31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7,372</w:t>
            </w:r>
          </w:p>
        </w:tc>
      </w:tr>
      <w:tr>
        <w:trPr>
          <w:trHeight w:hRule="auto"/>
        </w:trPr>
        <w:tc>
          <w:tcPr>
            <w:tcW w:type="dxa" w:w="21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Validation</w:t>
            </w:r>
          </w:p>
        </w:tc>
        <w:tc>
          <w:tcPr>
            <w:tcW w:type="dxa" w:w="19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1,505</w:t>
            </w:r>
          </w:p>
        </w:tc>
        <w:tc>
          <w:tcPr>
            <w:tcW w:type="dxa" w:w="22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343</w:t>
            </w:r>
          </w:p>
        </w:tc>
        <w:tc>
          <w:tcPr>
            <w:tcW w:type="dxa" w:w="31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1,477</w:t>
            </w:r>
          </w:p>
        </w:tc>
      </w:tr>
      <w:tr>
        <w:trPr>
          <w:trHeight w:hRule="auto"/>
        </w:trPr>
        <w:tc>
          <w:tcPr>
            <w:tcW w:type="dxa" w:w="21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Test</w:t>
            </w:r>
          </w:p>
        </w:tc>
        <w:tc>
          <w:tcPr>
            <w:tcW w:type="dxa" w:w="19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1,496</w:t>
            </w:r>
          </w:p>
        </w:tc>
        <w:tc>
          <w:tcPr>
            <w:tcW w:type="dxa" w:w="22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349</w:t>
            </w:r>
          </w:p>
        </w:tc>
        <w:tc>
          <w:tcPr>
            <w:tcW w:type="dxa" w:w="31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1,480</w:t>
            </w:r>
          </w:p>
        </w:tc>
      </w:tr>
      <w:tr>
        <w:trPr>
          <w:trHeight w:hRule="auto"/>
        </w:trPr>
        <w:tc>
          <w:tcPr>
            <w:tcW w:type="dxa" w:w="21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รวม</w:t>
            </w:r>
          </w:p>
        </w:tc>
        <w:tc>
          <w:tcPr>
            <w:tcW w:type="dxa" w:w="19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10,507</w:t>
            </w:r>
          </w:p>
        </w:tc>
        <w:tc>
          <w:tcPr>
            <w:tcW w:type="dxa" w:w="22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2,415</w:t>
            </w:r>
          </w:p>
        </w:tc>
        <w:tc>
          <w:tcPr>
            <w:tcW w:type="dxa" w:w="31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10,329</w:t>
            </w:r>
          </w:p>
        </w:tc>
      </w:tr>
    </w:tbl>
    <w:p>
      <w:pPr>
        <w:spacing w:after="0"/>
      </w:pPr>
    </w:p>
    <w:p>
      <w:pPr>
        <w:keepNext w:val="0"/>
        <w:spacing w:before="0" w:after="120" w:line="264" w:lineRule="auto"/>
        <w:jc w:val="left"/>
      </w:pP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ชุด train มี annotation gap 134 ภาพ จึงใช้ฝึกได้ 7,372 ภาพ ส่วนจำนวนผู้ป่วยเป็นเพียงการนับโฟลเดอร์ Patient_xxxx ไม่ใช่การตรวจตัวบุคคลจากเวชระเบียน</w:t>
      </w:r>
    </w:p>
    <w:p>
      <w:r>
        <w:br w:type="page"/>
      </w:r>
    </w:p>
    <w:p>
      <w:pPr>
        <w:pStyle w:val="Heading1"/>
        <w:keepNext/>
      </w:pPr>
      <w:r>
        <w:rPr>
          <w:rFonts w:ascii="TH SarabunPSK" w:hAnsi="TH SarabunPSK" w:eastAsia="TH SarabunPSK" w:cs="TH SarabunPSK"/>
          <w:b/>
          <w:i w:val="0"/>
          <w:color w:val="000000"/>
          <w:sz w:val="40"/>
        </w:rPr>
        <w:t>9. ช่องว่างด้านข้อมูลและข้อเสนอแนะ</w:t>
      </w:r>
    </w:p>
    <w:p>
      <w:pPr>
        <w:spacing w:before="0" w:after="100" w:line="264" w:lineRule="auto"/>
        <w:numPr>
          <w:ilvl w:val="0"/>
          <w:numId w:val="43"/>
        </w:numPr>
      </w:pP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เพิ่ม Data Source Register ระบุ URL ต้นทาง ผู้ให้ข้อมูล เจ้าของสิทธิ์ รุ่นของชุดข้อมูล วันที่ดาวน์โหลด และ checksum ของทุกไฟล์</w:t>
      </w:r>
    </w:p>
    <w:p>
      <w:pPr>
        <w:spacing w:before="0" w:after="100" w:line="264" w:lineRule="auto"/>
        <w:numPr>
          <w:ilvl w:val="0"/>
          <w:numId w:val="43"/>
        </w:numPr>
      </w:pP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ขอ patient mapping ที่ไม่ระบุตัวตนสำหรับชุดพังผืดและชุดก้อน เพื่อรายงานจำนวนผู้ป่วยและป้องกัน patient leakage</w:t>
      </w:r>
    </w:p>
    <w:p>
      <w:pPr>
        <w:spacing w:before="0" w:after="100" w:line="264" w:lineRule="auto"/>
        <w:numPr>
          <w:ilvl w:val="0"/>
          <w:numId w:val="43"/>
        </w:numPr>
      </w:pP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เพิ่มหลักฐานโรงพยาบาล การอนุมัติใช้ข้อมูล การลบข้อมูลระบุตัวตน และสิทธิ์การใช้ชุด Normal แยกบริเวณตรวจ</w:t>
      </w:r>
    </w:p>
    <w:p>
      <w:pPr>
        <w:spacing w:before="0" w:after="100" w:line="264" w:lineRule="auto"/>
        <w:numPr>
          <w:ilvl w:val="0"/>
          <w:numId w:val="43"/>
        </w:numPr>
      </w:pP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จัดหาชุดข้อมูล steatosis ที่มี ground truth S0-S3 และชุด liver fluke ที่มีผลตรวจยืนยัน ก่อนเรียกสองโมดูลนี้ว่าโมเดลโรคที่ผ่านการฝึก</w:t>
      </w:r>
    </w:p>
    <w:p>
      <w:pPr>
        <w:spacing w:before="0" w:after="100" w:line="264" w:lineRule="auto"/>
        <w:numPr>
          <w:ilvl w:val="0"/>
          <w:numId w:val="43"/>
        </w:numPr>
      </w:pP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จัดทำ frozen manifest ระดับผู้ป่วยสำหรับ train/validation/test และเก็บ class distribution, exclusion reason และ annotation version</w:t>
      </w:r>
    </w:p>
    <w:p>
      <w:pPr>
        <w:spacing w:before="0" w:after="100" w:line="264" w:lineRule="auto"/>
        <w:numPr>
          <w:ilvl w:val="0"/>
          <w:numId w:val="43"/>
        </w:numPr>
      </w:pP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เติม provenance และจำนวน train/validation/patient ของ organ gate ซึ่งปัจจุบันมีเพียงผล validation 1,840 ภาพ แต่ไม่มีข้อมูลต้นทางของชุดฝึกใน repository</w:t>
      </w:r>
    </w:p>
    <w:p>
      <w:pPr>
        <w:pStyle w:val="Heading1"/>
        <w:keepNext/>
      </w:pPr>
      <w:r>
        <w:rPr>
          <w:rFonts w:ascii="TH SarabunPSK" w:hAnsi="TH SarabunPSK" w:eastAsia="TH SarabunPSK" w:cs="TH SarabunPSK"/>
          <w:b/>
          <w:i w:val="0"/>
          <w:color w:val="000000"/>
          <w:sz w:val="40"/>
        </w:rPr>
        <w:t>10. แหล่งอ้างอิง</w:t>
      </w:r>
    </w:p>
    <w:p>
      <w:pPr>
        <w:spacing w:before="0" w:after="100" w:line="264" w:lineRule="auto"/>
        <w:numPr>
          <w:ilvl w:val="0"/>
          <w:numId w:val="44"/>
        </w:numPr>
      </w:pP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Kaggle. Liver Fibrosis Severity Prediction. https://www.kaggle.com/competitions/liver-fibrosis-severity-prediction/overview</w:t>
      </w:r>
    </w:p>
    <w:p>
      <w:pPr>
        <w:spacing w:before="0" w:after="100" w:line="264" w:lineRule="auto"/>
        <w:numPr>
          <w:ilvl w:val="0"/>
          <w:numId w:val="44"/>
        </w:numPr>
      </w:pP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ไฟล์โครงการ: data/liver-fibrosis-severity-prediction/train.csv และ test_submission.csv</w:t>
      </w:r>
    </w:p>
    <w:p>
      <w:pPr>
        <w:spacing w:before="0" w:after="100" w:line="264" w:lineRule="auto"/>
        <w:numPr>
          <w:ilvl w:val="0"/>
          <w:numId w:val="44"/>
        </w:numPr>
      </w:pP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ไฟล์โครงการ: src/models/fibrosis/labels.py และ src/models/fibrosis/reports/folds.json</w:t>
      </w:r>
    </w:p>
    <w:p>
      <w:pPr>
        <w:spacing w:before="0" w:after="100" w:line="264" w:lineRule="auto"/>
        <w:numPr>
          <w:ilvl w:val="0"/>
          <w:numId w:val="44"/>
        </w:numPr>
      </w:pP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ไฟล์โครงการ: tools/prep_and_train_lesion.py, data/lesion_yolo_train/dataset.yaml และ runs/lesion_train/smartliva_yolov8n_local/args.yaml</w:t>
      </w:r>
    </w:p>
    <w:p>
      <w:pPr>
        <w:spacing w:before="0" w:after="100" w:line="264" w:lineRule="auto"/>
        <w:numPr>
          <w:ilvl w:val="0"/>
          <w:numId w:val="44"/>
        </w:numPr>
      </w:pP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Xu Yiming et al. Annotated Ultrasound Liver images. Zenodo. DOI: 10.5281/zenodo.7272660</w:t>
      </w:r>
    </w:p>
    <w:p>
      <w:pPr>
        <w:spacing w:before="0" w:after="100" w:line="264" w:lineRule="auto"/>
        <w:numPr>
          <w:ilvl w:val="0"/>
          <w:numId w:val="44"/>
        </w:numPr>
      </w:pP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ไฟล์โครงการ: src/models/segmentation/training/reports/manifest.csv และ seg_splits.json</w:t>
      </w:r>
    </w:p>
    <w:p>
      <w:pPr>
        <w:spacing w:before="0" w:after="100" w:line="264" w:lineRule="auto"/>
        <w:numPr>
          <w:ilvl w:val="0"/>
          <w:numId w:val="44"/>
        </w:numPr>
      </w:pP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ไฟล์โครงการ: src/workflow/specialists/fatty_liver.py และ fluke_risk.py</w:t>
      </w:r>
    </w:p>
    <w:p>
      <w:r>
        <w:br w:type="page"/>
      </w:r>
    </w:p>
    <w:p>
      <w:pPr>
        <w:pStyle w:val="Heading1"/>
        <w:keepNext/>
      </w:pPr>
      <w:r>
        <w:rPr>
          <w:rFonts w:ascii="TH SarabunPSK" w:hAnsi="TH SarabunPSK" w:eastAsia="TH SarabunPSK" w:cs="TH SarabunPSK"/>
          <w:b/>
          <w:i w:val="0"/>
          <w:color w:val="000000"/>
          <w:sz w:val="40"/>
        </w:rPr>
        <w:t>ภาคผนวก: สถานะความน่าเชื่อถือของจำนวนที่รายงาน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00"/>
        <w:gridCol w:w="2200"/>
        <w:gridCol w:w="4160"/>
      </w:tblGrid>
      <w:tr>
        <w:trPr>
          <w:tblHeader w:val="true"/>
        </w:trPr>
        <w:tc>
          <w:tcPr>
            <w:tcW w:type="dxa" w:w="30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000000"/>
                <w:sz w:val="28"/>
              </w:rPr>
              <w:t>รายการ</w:t>
            </w:r>
          </w:p>
        </w:tc>
        <w:tc>
          <w:tcPr>
            <w:tcW w:type="dxa" w:w="22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000000"/>
                <w:sz w:val="28"/>
              </w:rPr>
              <w:t>ระดับความน่าเชื่อถือ</w:t>
            </w:r>
          </w:p>
        </w:tc>
        <w:tc>
          <w:tcPr>
            <w:tcW w:type="dxa" w:w="41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000000"/>
                <w:sz w:val="28"/>
              </w:rPr>
              <w:t>เหตุผล</w:t>
            </w:r>
          </w:p>
        </w:tc>
      </w:tr>
      <w:tr>
        <w:trPr>
          <w:trHeight w:hRule="auto"/>
        </w:trPr>
        <w:tc>
          <w:tcPr>
            <w:tcW w:type="dxa" w:w="30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จำนวนภาพพังผืด</w:t>
            </w:r>
          </w:p>
        </w:tc>
        <w:tc>
          <w:tcPr>
            <w:tcW w:type="dxa" w:w="22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ยืนยันได้</w:t>
            </w:r>
          </w:p>
        </w:tc>
        <w:tc>
          <w:tcPr>
            <w:tcW w:type="dxa" w:w="41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นับจาก train.csv และตรวจเทียบสคริปต์ labels.py</w:t>
            </w:r>
          </w:p>
        </w:tc>
      </w:tr>
      <w:tr>
        <w:trPr>
          <w:trHeight w:hRule="auto"/>
        </w:trPr>
        <w:tc>
          <w:tcPr>
            <w:tcW w:type="dxa" w:w="30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จำนวนครั้งตรวจพังผืด</w:t>
            </w:r>
          </w:p>
        </w:tc>
        <w:tc>
          <w:tcPr>
            <w:tcW w:type="dxa" w:w="22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ยืนยันได้ตามนิยามโครงการ</w:t>
            </w:r>
          </w:p>
        </w:tc>
        <w:tc>
          <w:tcPr>
            <w:tcW w:type="dxa" w:w="41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อ้างอิง frozen folds และกฎจัดกลุ่ม 300 วินาที</w:t>
            </w:r>
          </w:p>
        </w:tc>
      </w:tr>
      <w:tr>
        <w:trPr>
          <w:trHeight w:hRule="auto"/>
        </w:trPr>
        <w:tc>
          <w:tcPr>
            <w:tcW w:type="dxa" w:w="30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จำนวนผู้ป่วยพังผืด</w:t>
            </w:r>
          </w:p>
        </w:tc>
        <w:tc>
          <w:tcPr>
            <w:tcW w:type="dxa" w:w="22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ระบุไม่ได้</w:t>
            </w:r>
          </w:p>
        </w:tc>
        <w:tc>
          <w:tcPr>
            <w:tcW w:type="dxa" w:w="41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subject ไม่ใช่ patient ID</w:t>
            </w:r>
          </w:p>
        </w:tc>
      </w:tr>
      <w:tr>
        <w:trPr>
          <w:trHeight w:hRule="auto"/>
        </w:trPr>
        <w:tc>
          <w:tcPr>
            <w:tcW w:type="dxa" w:w="30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จำนวนภาพ/กล่องก้อน</w:t>
            </w:r>
          </w:p>
        </w:tc>
        <w:tc>
          <w:tcPr>
            <w:tcW w:type="dxa" w:w="22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ยืนยันได้</w:t>
            </w:r>
          </w:p>
        </w:tc>
        <w:tc>
          <w:tcPr>
            <w:tcW w:type="dxa" w:w="41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นับจาก YOLO label files ที่ใช้ฝึกจริง</w:t>
            </w:r>
          </w:p>
        </w:tc>
      </w:tr>
      <w:tr>
        <w:trPr>
          <w:trHeight w:hRule="auto"/>
        </w:trPr>
        <w:tc>
          <w:tcPr>
            <w:tcW w:type="dxa" w:w="30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จำนวนผู้ป่วยชุดก้อน</w:t>
            </w:r>
          </w:p>
        </w:tc>
        <w:tc>
          <w:tcPr>
            <w:tcW w:type="dxa" w:w="22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ระบุไม่ได้</w:t>
            </w:r>
          </w:p>
        </w:tc>
        <w:tc>
          <w:tcPr>
            <w:tcW w:type="dxa" w:w="41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ไม่มี patient ID หรือ mapping</w:t>
            </w:r>
          </w:p>
        </w:tc>
      </w:tr>
      <w:tr>
        <w:trPr>
          <w:trHeight w:hRule="auto"/>
        </w:trPr>
        <w:tc>
          <w:tcPr>
            <w:tcW w:type="dxa" w:w="30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จำนวนชุด Normal</w:t>
            </w:r>
          </w:p>
        </w:tc>
        <w:tc>
          <w:tcPr>
            <w:tcW w:type="dxa" w:w="22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ยืนยันได้ในระดับโฟลเดอร์</w:t>
            </w:r>
          </w:p>
        </w:tc>
        <w:tc>
          <w:tcPr>
            <w:tcW w:type="dxa" w:w="41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นับจาก manifest และ frozen split</w:t>
            </w:r>
          </w:p>
        </w:tc>
      </w:tr>
      <w:tr>
        <w:trPr>
          <w:trHeight w:hRule="auto"/>
        </w:trPr>
        <w:tc>
          <w:tcPr>
            <w:tcW w:type="dxa" w:w="30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Steatosis และ fluke training cohort</w:t>
            </w:r>
          </w:p>
        </w:tc>
        <w:tc>
          <w:tcPr>
            <w:tcW w:type="dxa" w:w="22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ไม่มี</w:t>
            </w:r>
          </w:p>
        </w:tc>
        <w:tc>
          <w:tcPr>
            <w:tcW w:type="dxa" w:w="41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เป็น rule-based modules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eastAsia="TH SarabunPSK" w:cs="TH SarabunPSK"/>
        <w:b w:val="0"/>
        <w:i w:val="0"/>
        <w:color w:val="000000"/>
        <w:sz w:val="26"/>
      </w:rPr>
      <w:t xml:space="preserve">หน้า </w:t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  <w:rPr>
        <w:rFonts w:ascii="TH SarabunPSK" w:hAnsi="TH SarabunPSK" w:eastAsia="TH SarabunPSK" w:cs="TH SarabunPSK"/>
        <w:sz w:val="32"/>
      </w:rPr>
    </w:lvl>
  </w:abstractNum>
  <w:num w:numId="42">
    <w:abstractNumId w:val="42"/>
  </w:num>
  <w:abstractNum w:abstractNumId="43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  <w:rPr>
        <w:rFonts w:ascii="TH SarabunPSK" w:hAnsi="TH SarabunPSK" w:eastAsia="TH SarabunPSK" w:cs="TH SarabunPSK"/>
        <w:sz w:val="32"/>
      </w:rPr>
    </w:lvl>
  </w:abstractNum>
  <w:num w:numId="43">
    <w:abstractNumId w:val="43"/>
  </w:num>
  <w:abstractNum w:abstractNumId="44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  <w:rPr>
        <w:rFonts w:ascii="TH SarabunPSK" w:hAnsi="TH SarabunPSK" w:eastAsia="TH SarabunPSK" w:cs="TH SarabunPSK"/>
        <w:sz w:val="32"/>
      </w:rPr>
    </w:lvl>
  </w:abstract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TH SarabunPSK" w:hAnsi="TH SarabunPSK" w:eastAsia="TH SarabunPSK" w:cs="TH SarabunPSK"/>
      <w:b w:val="0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TH SarabunPSK" w:hAnsi="TH SarabunPSK" w:eastAsia="TH SarabunPSK" w:cs="TH SarabunPSK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H SarabunPSK" w:hAnsi="TH SarabunPSK" w:eastAsia="TH SarabunPSK" w:cs="TH SarabunPSK"/>
      <w:b/>
      <w:bCs/>
      <w:color w:val="00000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H SarabunPSK" w:hAnsi="TH SarabunPSK" w:eastAsia="TH SarabunPSK" w:cs="TH SarabunPSK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รายงานแหล่งที่มาและปริมาณชุดข้อมูลสำหรับการพัฒนาโมเดลโรคตับ</dc:title>
  <dc:subject>SmartLiva dataset provenance and counts</dc:subject>
  <dc:creator>SmartLiva Project Team</dc:creator>
  <cp:keywords>SmartLiva, liver ultrasound, dataset, provenance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