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H Sarabun New" w:hAnsi="TH Sarabun New"/>
          <w:color w:val="787878"/>
          <w:sz w:val="22"/>
        </w:rPr>
        <w:t>รายงานความก้าวหน้าโครงการวิจัยและพัฒนาปัญญาประดิษฐ์ทางการแพทย์ | SmartLiva AI</w:t>
      </w:r>
    </w:p>
    <w:p>
      <w:pPr>
        <w:keepNext/>
        <w:spacing w:before="200" w:after="80"/>
        <w:jc w:val="left"/>
      </w:pPr>
      <w:r>
        <w:t>รายงานเชิงลึก: สถาปัตยกรรมและกระบวนการฝึกสอนโมเดลปัญญาประดิษฐ์สำหรับวิเคราะห์ภาพคลื่นเสียงความถี่สูงตับ (Ultrasound AI Training Pipeline)</w:t>
      </w:r>
    </w:p>
    <w:p>
      <w:pPr>
        <w:spacing w:after="240"/>
        <w:jc w:val="left"/>
      </w:pPr>
      <w:r>
        <w:rPr>
          <w:rFonts w:ascii="TH Sarabun New" w:hAnsi="TH Sarabun New"/>
          <w:b/>
          <w:color w:val="018CB4"/>
          <w:sz w:val="30"/>
        </w:rPr>
        <w:t>เอกสารประกอบรายงานความก้าวหน้าโครงการ SmartLiva (Liver Ultrasound Clinical Screening AI &amp; Multi-Organ Copilot)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168"/>
            <w:shd w:fill="F2F5F8"/>
            <w:tcMar>
              <w:top w:w="80" w:type="dxa"/>
              <w:bottom w:w="80" w:type="dxa"/>
              <w:left w:w="100" w:type="dxa"/>
              <w:right w:w="100" w:type="dxa"/>
            </w:tcMar>
          </w:tcPr>
          <w:p>
            <w:pPr>
              <w:spacing w:after="0"/>
            </w:pPr>
            <w:r>
              <w:rPr>
                <w:rFonts w:ascii="TH Sarabun New" w:hAnsi="TH Sarabun New"/>
                <w:b/>
                <w:sz w:val="24"/>
              </w:rPr>
              <w:t>ระบบและแพลตฟอร์ม:</w:t>
            </w:r>
          </w:p>
        </w:tc>
        <w:tc>
          <w:tcPr>
            <w:tcW w:type="dxa" w:w="6192"/>
            <w:shd w:fill="FFFFFF"/>
            <w:tcMar>
              <w:top w:w="80" w:type="dxa"/>
              <w:bottom w:w="80" w:type="dxa"/>
              <w:left w:w="100" w:type="dxa"/>
              <w:right w:w="100" w:type="dxa"/>
            </w:tcMar>
          </w:tcPr>
          <w:p>
            <w:pPr>
              <w:spacing w:after="0"/>
            </w:pPr>
            <w:r>
              <w:rPr>
                <w:rFonts w:ascii="TH Sarabun New" w:hAnsi="TH Sarabun New"/>
                <w:sz w:val="24"/>
              </w:rPr>
              <w:t>SmartLiva Clinical AI Engine (v1.1 Multi-Organ Gated Architecture)</w:t>
            </w:r>
          </w:p>
        </w:tc>
      </w:tr>
      <w:tr>
        <w:tc>
          <w:tcPr>
            <w:tcW w:type="dxa" w:w="3168"/>
            <w:shd w:fill="F2F5F8"/>
            <w:tcMar>
              <w:top w:w="80" w:type="dxa"/>
              <w:bottom w:w="80" w:type="dxa"/>
              <w:left w:w="100" w:type="dxa"/>
              <w:right w:w="100" w:type="dxa"/>
            </w:tcMar>
          </w:tcPr>
          <w:p>
            <w:pPr>
              <w:spacing w:after="0"/>
            </w:pPr>
            <w:r>
              <w:rPr>
                <w:rFonts w:ascii="TH Sarabun New" w:hAnsi="TH Sarabun New"/>
                <w:b/>
                <w:sz w:val="24"/>
              </w:rPr>
              <w:t>ประเภทข้อมูลที่ใช้ฝึกสอน:</w:t>
            </w:r>
          </w:p>
        </w:tc>
        <w:tc>
          <w:tcPr>
            <w:tcW w:type="dxa" w:w="6192"/>
            <w:shd w:fill="FFFFFF"/>
            <w:tcMar>
              <w:top w:w="80" w:type="dxa"/>
              <w:bottom w:w="80" w:type="dxa"/>
              <w:left w:w="100" w:type="dxa"/>
              <w:right w:w="100" w:type="dxa"/>
            </w:tcMar>
          </w:tcPr>
          <w:p>
            <w:pPr>
              <w:spacing w:after="0"/>
            </w:pPr>
            <w:r>
              <w:rPr>
                <w:rFonts w:ascii="TH Sarabun New" w:hAnsi="TH Sarabun New"/>
                <w:sz w:val="24"/>
              </w:rPr>
              <w:t>B-mode Ultrasound, Shear Wave Elastography (SWE), Clinical Patient Metadata</w:t>
            </w:r>
          </w:p>
        </w:tc>
      </w:tr>
      <w:tr>
        <w:tc>
          <w:tcPr>
            <w:tcW w:type="dxa" w:w="3168"/>
            <w:shd w:fill="F2F5F8"/>
            <w:tcMar>
              <w:top w:w="80" w:type="dxa"/>
              <w:bottom w:w="80" w:type="dxa"/>
              <w:left w:w="100" w:type="dxa"/>
              <w:right w:w="100" w:type="dxa"/>
            </w:tcMar>
          </w:tcPr>
          <w:p>
            <w:pPr>
              <w:spacing w:after="0"/>
            </w:pPr>
            <w:r>
              <w:rPr>
                <w:rFonts w:ascii="TH Sarabun New" w:hAnsi="TH Sarabun New"/>
                <w:b/>
                <w:sz w:val="24"/>
              </w:rPr>
              <w:t>กลุ่มเป้าหมายการประเมิน:</w:t>
            </w:r>
          </w:p>
        </w:tc>
        <w:tc>
          <w:tcPr>
            <w:tcW w:type="dxa" w:w="6192"/>
            <w:shd w:fill="FFFFFF"/>
            <w:tcMar>
              <w:top w:w="80" w:type="dxa"/>
              <w:bottom w:w="80" w:type="dxa"/>
              <w:left w:w="100" w:type="dxa"/>
              <w:right w:w="100" w:type="dxa"/>
            </w:tcMar>
          </w:tcPr>
          <w:p>
            <w:pPr>
              <w:spacing w:after="0"/>
            </w:pPr>
            <w:r>
              <w:rPr>
                <w:rFonts w:ascii="TH Sarabun New" w:hAnsi="TH Sarabun New"/>
                <w:sz w:val="24"/>
              </w:rPr>
              <w:t>การคัดกรองอวัยวะ, การแบ่งส่วนตับ/ถุงน้ำดี, พังผืดตับ (F0-F4), ไขมันพอกตับ (S0-S3), และรอยโรคเฉพาะที่ 7 ชนิด</w:t>
            </w:r>
          </w:p>
        </w:tc>
      </w:tr>
      <w:tr>
        <w:tc>
          <w:tcPr>
            <w:tcW w:type="dxa" w:w="3168"/>
            <w:shd w:fill="F2F5F8"/>
            <w:tcMar>
              <w:top w:w="80" w:type="dxa"/>
              <w:bottom w:w="80" w:type="dxa"/>
              <w:left w:w="100" w:type="dxa"/>
              <w:right w:w="100" w:type="dxa"/>
            </w:tcMar>
          </w:tcPr>
          <w:p>
            <w:pPr>
              <w:spacing w:after="0"/>
            </w:pPr>
            <w:r>
              <w:rPr>
                <w:rFonts w:ascii="TH Sarabun New" w:hAnsi="TH Sarabun New"/>
                <w:b/>
                <w:sz w:val="24"/>
              </w:rPr>
              <w:t>มาตรฐานความปลอดภัย:</w:t>
            </w:r>
          </w:p>
        </w:tc>
        <w:tc>
          <w:tcPr>
            <w:tcW w:type="dxa" w:w="6192"/>
            <w:shd w:fill="FFFFFF"/>
            <w:tcMar>
              <w:top w:w="80" w:type="dxa"/>
              <w:bottom w:w="80" w:type="dxa"/>
              <w:left w:w="100" w:type="dxa"/>
              <w:right w:w="100" w:type="dxa"/>
            </w:tcMar>
          </w:tcPr>
          <w:p>
            <w:pPr>
              <w:spacing w:after="0"/>
            </w:pPr>
            <w:r>
              <w:rPr>
                <w:rFonts w:ascii="TH Sarabun New" w:hAnsi="TH Sarabun New"/>
                <w:sz w:val="24"/>
              </w:rPr>
              <w:t>Zero Cross-Patient Leakage, Physical Acoustic Verification, Doctor-in-the-Loop Flywheel</w:t>
            </w:r>
          </w:p>
        </w:tc>
      </w:tr>
    </w:tbl>
    <w:p>
      <w:pPr>
        <w:spacing w:before="120" w:after="240"/>
      </w:pPr>
    </w:p>
    <w:p>
      <w:pPr>
        <w:keepNext/>
        <w:spacing w:before="240" w:after="120"/>
      </w:pPr>
      <w:r>
        <w:t>1. บทสรุปสำหรับผู้บริหาร (Executive Summary)</w:t>
      </w:r>
    </w:p>
    <w:p>
      <w:pPr>
        <w:spacing w:before="0" w:after="120" w:line="276" w:lineRule="auto"/>
      </w:pPr>
      <w:r>
        <w:rPr>
          <w:rFonts w:ascii="TH Sarabun New" w:hAnsi="TH Sarabun New"/>
          <w:color w:val="282828"/>
          <w:sz w:val="28"/>
        </w:rPr>
        <w:t>โครงการ SmartLiva ได้รับการออกแบบและพัฒนาขึ้นเพื่อเป็นระบบปัญญาประดิษฐ์ช่วยสนับสนุนการตัดสินใจทางคลินิก (Clinical Decision Support System: CDSS) และผู้ช่วยคัดกรองโรคตับจากการตรวจคลื่นเสียงความถี่สูง (B-mode Ultrasound) โดยมุ่งเน้นการแก้ปัญหาคอขวดที่สำคัญที่สุดในระบบ AI ทางการแพทย์ ได้แก่ ภาวะ AI หลอน (Hallucination), การทำนายผิดพลาดบนภาพที่ไม่ใช่อวัยวะเป้าหมาย (Out-of-Distribution Error), และปัญหาความไม่สอดคล้องระหว่างข้อมูลภาพกับผลการตรวจทางคลินิกจริง</w:t>
      </w: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00" w:type="dxa"/>
            </w:tcMar>
            <w:tcBorders>
              <w:left w:val="single" w:sz="24" w:space="0" w:color="0B4F6C"/>
              <w:top w:val="none"/>
              <w:right w:val="none"/>
              <w:bottom w:val="none"/>
            </w:tcBorders>
          </w:tcPr>
          <w:p>
            <w:pPr>
              <w:spacing w:before="40" w:after="80"/>
            </w:pPr>
            <w:r>
              <w:rPr>
                <w:rFonts w:ascii="TH Sarabun New" w:hAnsi="TH Sarabun New"/>
                <w:b/>
                <w:color w:val="0B4F6C"/>
                <w:sz w:val="28"/>
              </w:rPr>
              <w:t>📌 หัวใจสำคัญของการฝึกสอนโมเดล SmartLiva</w:t>
              <w:br/>
            </w:r>
            <w:r>
              <w:rPr>
                <w:rFonts w:ascii="TH Sarabun New" w:hAnsi="TH Sarabun New"/>
                <w:color w:val="282828"/>
                <w:sz w:val="26"/>
              </w:rPr>
              <w:t>1. สถาปัตยกรรม 100% Gated Multi-Organ Baseline: มีการตรวจคลื่นเสียงเชิงฟิสิกส์ (Speckle &amp; Quality Gate) และคัดกรองอวัยวะ 10 คลาสด้วย ResNet-18 ก่อนส่งต่อให้โมเดลโรคเสมอ</w:t>
              <w:br/>
              <w:t>2. Zero Cross-Patient Data Leakage: การแบ่งชุดข้อมูลในระดับผู้ป่วย (Patient-Level) ป้องกันภาพคนไข้คนเดียวกันข้ามระหว่างชุดฝึกสอนและชุดทดสอบ 100%</w:t>
              <w:br/>
              <w:t>3. Multi-Task Continuous Stiffness &amp; Ordinal Regression: โมเดล FibrosisNet เรียนรู้ค่าความแข็งตับต่อเนื่อง (Continuous log-kPa) ควบคู่กับ CORN Ordinal Loss และ 2D-SWE Auxiliary Head</w:t>
              <w:br/>
              <w:t>4. Spatial Containment Guardrails: โมเดลตรวจจับรอยโรค YOLOv8 ถูกควบคุมด้วย Liver Mask ป้องกัน False Positives นอกเนื้อตับ 100%</w:t>
              <w:br/>
              <w:t>5. Doctor-in-the-Loop Flywheel: มีวงจรบันทึกผลการตรวจสอบจากแพทย์ผู้เชี่ยวชาญเพื่อนำมา Finetune โมเดลอย่างต่อเนื่อง</w:t>
            </w:r>
          </w:p>
        </w:tc>
      </w:tr>
    </w:tbl>
    <w:p>
      <w:pPr>
        <w:spacing w:before="0" w:after="120"/>
      </w:pPr>
    </w:p>
    <w:p>
      <w:pPr>
        <w:keepNext/>
        <w:spacing w:before="240" w:after="120"/>
      </w:pPr>
      <w:r>
        <w:t>2. ปรัชญาการออกแบบและสถาปัตยกรรมระบบ (Clinical Architecture)</w:t>
      </w:r>
    </w:p>
    <w:p>
      <w:pPr>
        <w:spacing w:before="0" w:after="120" w:line="276" w:lineRule="auto"/>
      </w:pPr>
      <w:r>
        <w:rPr>
          <w:rFonts w:ascii="TH Sarabun New" w:hAnsi="TH Sarabun New"/>
          <w:color w:val="282828"/>
          <w:sz w:val="28"/>
        </w:rPr>
        <w:t>ในการตรวจอัลตราซาวนด์ช่องท้องจริง แพทย์จะต้องสแกนผ่านหลายอวัยวะและมุมมอง (Acoustic Windows) หากนำภาพใดๆ ป้อนเข้าสู่โมเดลวินิจฉัยโรคตับโดยตรง โมเดล Deep Learning ทั่วไปจะพยายามฝืนวินิจฉัยแม้ว่าภาพนั้นจะเป็นไต ม้าม หรือสัญญาณรบกวน ซึ่งเป็นอันตรายอย่างยิ่งในทางคลินิก ทีมวิจัยจึงได้ออกแบบสถาปัตยกรรมการเรียนรู้แบบ Multi-Stage Cascaded Gating ดังนี้:</w:t>
      </w:r>
    </w:p>
    <w:p>
      <w:pPr>
        <w:pStyle w:val="ListBullet"/>
        <w:spacing w:before="0" w:after="80" w:line="276" w:lineRule="auto"/>
        <w:ind w:left="360"/>
      </w:pPr>
      <w:r>
        <w:rPr>
          <w:rFonts w:ascii="TH Sarabun New" w:hAnsi="TH Sarabun New"/>
          <w:b/>
          <w:color w:val="141414"/>
          <w:sz w:val="28"/>
        </w:rPr>
        <w:t xml:space="preserve">ระดับที่ 1 - Physics Gate: </w:t>
      </w:r>
      <w:r>
        <w:rPr>
          <w:rFonts w:ascii="TH Sarabun New" w:hAnsi="TH Sarabun New"/>
          <w:color w:val="323232"/>
          <w:sz w:val="28"/>
        </w:rPr>
        <w:t>ด่านตรวจสอบทางกายภาพและคุณภาพของสัญญาณคลื่นเสียง (Acoustic Physics Envelope &amp; No-Reference Quality Gate) วิเคราะห์การกระจายตัวของ Speckle Noise, ความคมชัด (Laplacian Variance), คอนทราสต์ และขอบเขตการลดทอนของคลื่น เพื่อตัดภาพที่ไม่ใช่อัลตราซาวนด์หรือภาพที่เบลอจนไม่สามารถใช้วินิจฉัยได้ทันที (Hard-Halt)</w:t>
      </w:r>
    </w:p>
    <w:p>
      <w:pPr>
        <w:pStyle w:val="ListBullet"/>
        <w:spacing w:before="0" w:after="80" w:line="276" w:lineRule="auto"/>
        <w:ind w:left="360"/>
      </w:pPr>
      <w:r>
        <w:rPr>
          <w:rFonts w:ascii="TH Sarabun New" w:hAnsi="TH Sarabun New"/>
          <w:b/>
          <w:color w:val="141414"/>
          <w:sz w:val="28"/>
        </w:rPr>
        <w:t xml:space="preserve">ระดับที่ 2 - 10-Class Organ Gate: </w:t>
      </w:r>
      <w:r>
        <w:rPr>
          <w:rFonts w:ascii="TH Sarabun New" w:hAnsi="TH Sarabun New"/>
          <w:color w:val="323232"/>
          <w:sz w:val="28"/>
        </w:rPr>
        <w:t>โมเดล ResNet-18 ทำหน้าที่จำแนกภาพอัลตราซาวนด์ออกเป็น 10 คลาสอวัยวะ (Liver, Kidney, Gallbladder, Spleen, Bladder, Thyroid, Breast, Carotid, Heart, Other) หากความเชื่อมั่นไม่ถึงเกณฑ์ หรือภาพไม่ใช่อัลตราซาวนด์ตับ ระบบจะปฏิเสธการวิเคราะห์โรคทันที</w:t>
      </w:r>
    </w:p>
    <w:p>
      <w:pPr>
        <w:pStyle w:val="ListBullet"/>
        <w:spacing w:before="0" w:after="80" w:line="276" w:lineRule="auto"/>
        <w:ind w:left="360"/>
      </w:pPr>
      <w:r>
        <w:rPr>
          <w:rFonts w:ascii="TH Sarabun New" w:hAnsi="TH Sarabun New"/>
          <w:b/>
          <w:color w:val="141414"/>
          <w:sz w:val="28"/>
        </w:rPr>
        <w:t xml:space="preserve">ระดับที่ 3 - Multi-Organ Segmentation: </w:t>
      </w:r>
      <w:r>
        <w:rPr>
          <w:rFonts w:ascii="TH Sarabun New" w:hAnsi="TH Sarabun New"/>
          <w:color w:val="323232"/>
          <w:sz w:val="28"/>
        </w:rPr>
        <w:t>การผสานระหว่าง MedSAM2 (Medical Segment Anything Model 2) และ 4-Level U-Net เพื่อสร้าง Mask ขอบเขตเนื้อตับ (Liver Parenchyma) และถุงน้ำดี (Gallbladder) พร้อมกลไก Gallbladder Mutual Exclusion เพื่อลบพิกเซลถุงน้ำดีออกจากเนื้อตับ ป้องกันการวิเคราะห์เนื้อเยื่อผิดพลาด</w:t>
      </w:r>
    </w:p>
    <w:p>
      <w:pPr>
        <w:pStyle w:val="ListBullet"/>
        <w:spacing w:before="0" w:after="80" w:line="276" w:lineRule="auto"/>
        <w:ind w:left="360"/>
      </w:pPr>
      <w:r>
        <w:rPr>
          <w:rFonts w:ascii="TH Sarabun New" w:hAnsi="TH Sarabun New"/>
          <w:b/>
          <w:color w:val="141414"/>
          <w:sz w:val="28"/>
        </w:rPr>
        <w:t xml:space="preserve">ระดับที่ 4 - 4-in-1 Disease Specialists: </w:t>
      </w:r>
      <w:r>
        <w:rPr>
          <w:rFonts w:ascii="TH Sarabun New" w:hAnsi="TH Sarabun New"/>
          <w:color w:val="323232"/>
          <w:sz w:val="28"/>
        </w:rPr>
        <w:t>ระบบ AI เฉพาะทาง 4 ด้าน ประกอบด้วย: (1) Fibrosis Staging (F0-F4) ด้วย 5-Fold Ensemble, (2) Steatosis Attenuation (S0-S3) ด้วยฟิสิกส์คลื่นเสียง, (3) Focal Lesion Detection 7 คลาส ด้วย YOLOv8, และ (4) Fluke/CCA Risk จากความหนาตัวของท่อน้ำดีร่วมกับประวัติผู้ป่วย</w:t>
      </w:r>
    </w:p>
    <w:p>
      <w:pPr>
        <w:pStyle w:val="ListBullet"/>
        <w:spacing w:before="0" w:after="80" w:line="276" w:lineRule="auto"/>
        <w:ind w:left="360"/>
      </w:pPr>
      <w:r>
        <w:rPr>
          <w:rFonts w:ascii="TH Sarabun New" w:hAnsi="TH Sarabun New"/>
          <w:b/>
          <w:color w:val="141414"/>
          <w:sz w:val="28"/>
        </w:rPr>
        <w:t xml:space="preserve">ระดับที่ 5 - Clinical Rule Engine: </w:t>
      </w:r>
      <w:r>
        <w:rPr>
          <w:rFonts w:ascii="TH Sarabun New" w:hAnsi="TH Sarabun New"/>
          <w:color w:val="323232"/>
          <w:sz w:val="28"/>
        </w:rPr>
        <w:t>ระบบกฎความปลอดภัยและการรวมหลักฐานทางการแพทย์ (Evidence &amp; Safety Rule Engine) เพื่อประเมินความเสี่ยงและส่งต่อตรวจ CT Triphasic หรือส่งพบแพทย์เฉพาะทาง</w:t>
      </w:r>
    </w:p>
    <w:p>
      <w:pPr>
        <w:pStyle w:val="ListBullet"/>
        <w:spacing w:before="0" w:after="80" w:line="276" w:lineRule="auto"/>
        <w:ind w:left="360"/>
      </w:pPr>
      <w:r>
        <w:rPr>
          <w:rFonts w:ascii="TH Sarabun New" w:hAnsi="TH Sarabun New"/>
          <w:b/>
          <w:color w:val="141414"/>
          <w:sz w:val="28"/>
        </w:rPr>
        <w:t xml:space="preserve">ระดับที่ 6 - Doctor Flywheel: </w:t>
      </w:r>
      <w:r>
        <w:rPr>
          <w:rFonts w:ascii="TH Sarabun New" w:hAnsi="TH Sarabun New"/>
          <w:color w:val="323232"/>
          <w:sz w:val="28"/>
        </w:rPr>
        <w:t>ระบบบันทึกและเรียนรู้ร่วมกับแพทย์ (SQLite Flywheel) แพทย์สามารถยืนยัน ปรับแก้ Bounding Box หรือ Override ผลการทำนาย ซึ่งข้อมูลทั้งหมดจะถูกบันทึกเพื่อใช้ในการฝึกสอนรอบถัดไป</w:t>
      </w:r>
    </w:p>
    <w:p>
      <w:pPr>
        <w:keepNext/>
        <w:spacing w:before="240" w:after="120"/>
      </w:pPr>
      <w:r>
        <w:t>3. การจัดการชุดข้อมูลและมาตรฐานความปลอดภัยทางการแพทย์ (Medical Dataset &amp; Partitioning)</w:t>
      </w:r>
    </w:p>
    <w:p>
      <w:pPr>
        <w:spacing w:before="0" w:after="120" w:line="276" w:lineRule="auto"/>
      </w:pPr>
      <w:r>
        <w:rPr>
          <w:rFonts w:ascii="TH Sarabun New" w:hAnsi="TH Sarabun New"/>
          <w:color w:val="282828"/>
          <w:sz w:val="28"/>
        </w:rPr>
        <w:t>หนึ่งในข้อผิดพลาดที่ร้ายแรงที่สุดในการพัฒนาโมเดล AI ทางการแพทย์คือ 'Data Leakage' ซึ่งเกิดขึ้นเมื่อนำภาพหลายๆ มุมมอง (Views) หรือหลายเฟรมของผู้ป่วยคนเดียวกัน กระจายไปอยู่ในทั้งชุดฝึกสอน (Train Set) และชุดทดสอบ (Validation/Test Set) ทำให้โมเดลจำอัตลักษณ์ของเครื่องตรวจหรือเนื้อเยื่อเฉพาะตัวของผู้ป่วยได้ ส่งผลให้ค่าความแม่นยำสูงเกินจริง (Overoptimistic Results) แต่ล้มเหลวเมื่อนำไปใช้จริงในโรงพยาบาล</w:t>
      </w:r>
    </w:p>
    <w:p>
      <w:pPr>
        <w:spacing w:before="0" w:after="120" w:line="276" w:lineRule="auto"/>
      </w:pPr>
      <w:r>
        <w:rPr>
          <w:rFonts w:ascii="TH Sarabun New" w:hAnsi="TH Sarabun New"/>
          <w:b/>
          <w:color w:val="1E1E1E"/>
          <w:sz w:val="28"/>
        </w:rPr>
        <w:t xml:space="preserve">🛡️ มาตรการควบคุมความถูกต้อง: </w:t>
      </w:r>
      <w:r>
        <w:rPr>
          <w:rFonts w:ascii="TH Sarabun New" w:hAnsi="TH Sarabun New"/>
          <w:color w:val="282828"/>
          <w:sz w:val="28"/>
        </w:rPr>
        <w:t>กฎเหล็ก Zero Cross-Patient Leakage (SaMD Compliance)</w:t>
      </w:r>
    </w:p>
    <w:p>
      <w:pPr>
        <w:spacing w:before="0" w:after="120" w:line="276" w:lineRule="auto"/>
      </w:pPr>
      <w:r>
        <w:rPr>
          <w:rFonts w:ascii="TH Sarabun New" w:hAnsi="TH Sarabun New"/>
          <w:color w:val="282828"/>
          <w:sz w:val="28"/>
        </w:rPr>
        <w:t>ทีมงานได้พัฒนาระบบ Patient Split Auditor (tools/patient_split_auditor.py) ซึ่งตรวจสอบรหัสผู้ป่วย (Patient ID) จาก DICOM Metadata และโครงสร้างไฟล์ โดยบังคับให้ภาพทุกเฟรม ทุกมุมตรวจ (เช่น FPH, GBH, LHA, LHP, LHV, RH, SPH) และทุกรอยโรคของผู้ป่วยรายหนึ่งๆ ต้องถูกจัดให้อยู่ในกลุ่ม Train, Val หรือ Test เพียงกลุ่มเดียวเท่านั้น</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340"/>
            <w:shd w:fill="0B4F6C"/>
            <w:tcMar>
              <w:top w:w="100" w:type="dxa"/>
              <w:bottom w:w="100" w:type="dxa"/>
              <w:left w:w="120" w:type="dxa"/>
              <w:right w:w="120" w:type="dxa"/>
            </w:tcMar>
          </w:tcPr>
          <w:p>
            <w:pPr>
              <w:spacing w:after="0"/>
            </w:pPr>
            <w:r>
              <w:rPr>
                <w:rFonts w:ascii="TH Sarabun New" w:hAnsi="TH Sarabun New"/>
                <w:b/>
                <w:color w:val="FFFFFF"/>
                <w:sz w:val="26"/>
              </w:rPr>
              <w:t>ชุดข้อมูล (Split)</w:t>
            </w:r>
          </w:p>
        </w:tc>
        <w:tc>
          <w:tcPr>
            <w:tcW w:type="dxa" w:w="2340"/>
            <w:shd w:fill="0B4F6C"/>
            <w:tcMar>
              <w:top w:w="100" w:type="dxa"/>
              <w:bottom w:w="100" w:type="dxa"/>
              <w:left w:w="120" w:type="dxa"/>
              <w:right w:w="120" w:type="dxa"/>
            </w:tcMar>
          </w:tcPr>
          <w:p>
            <w:pPr>
              <w:spacing w:after="0"/>
            </w:pPr>
            <w:r>
              <w:rPr>
                <w:rFonts w:ascii="TH Sarabun New" w:hAnsi="TH Sarabun New"/>
                <w:b/>
                <w:color w:val="FFFFFF"/>
                <w:sz w:val="26"/>
              </w:rPr>
              <w:t>สัดส่วน (%)</w:t>
            </w:r>
          </w:p>
        </w:tc>
        <w:tc>
          <w:tcPr>
            <w:tcW w:type="dxa" w:w="2340"/>
            <w:shd w:fill="0B4F6C"/>
            <w:tcMar>
              <w:top w:w="100" w:type="dxa"/>
              <w:bottom w:w="100" w:type="dxa"/>
              <w:left w:w="120" w:type="dxa"/>
              <w:right w:w="120" w:type="dxa"/>
            </w:tcMar>
          </w:tcPr>
          <w:p>
            <w:pPr>
              <w:spacing w:after="0"/>
            </w:pPr>
            <w:r>
              <w:rPr>
                <w:rFonts w:ascii="TH Sarabun New" w:hAnsi="TH Sarabun New"/>
                <w:b/>
                <w:color w:val="FFFFFF"/>
                <w:sz w:val="26"/>
              </w:rPr>
              <w:t>บทบาทหน้าที่ในการเทรน</w:t>
            </w:r>
          </w:p>
        </w:tc>
        <w:tc>
          <w:tcPr>
            <w:tcW w:type="dxa" w:w="2340"/>
            <w:shd w:fill="0B4F6C"/>
            <w:tcMar>
              <w:top w:w="100" w:type="dxa"/>
              <w:bottom w:w="100" w:type="dxa"/>
              <w:left w:w="120" w:type="dxa"/>
              <w:right w:w="120" w:type="dxa"/>
            </w:tcMar>
          </w:tcPr>
          <w:p>
            <w:pPr>
              <w:spacing w:after="0"/>
            </w:pPr>
            <w:r>
              <w:rPr>
                <w:rFonts w:ascii="TH Sarabun New" w:hAnsi="TH Sarabun New"/>
                <w:b/>
                <w:color w:val="FFFFFF"/>
                <w:sz w:val="26"/>
              </w:rPr>
              <w:t>การป้องกัน Data Leakage</w:t>
            </w:r>
          </w:p>
        </w:tc>
      </w:tr>
      <w:tr>
        <w:tc>
          <w:tcPr>
            <w:tcW w:type="dxa" w:w="2340"/>
            <w:shd w:fill="F9FBFD"/>
            <w:tcMar>
              <w:top w:w="80" w:type="dxa"/>
              <w:bottom w:w="80" w:type="dxa"/>
              <w:left w:w="100" w:type="dxa"/>
              <w:right w:w="100" w:type="dxa"/>
            </w:tcMar>
          </w:tcPr>
          <w:p>
            <w:pPr>
              <w:spacing w:after="0"/>
            </w:pPr>
            <w:r>
              <w:rPr>
                <w:rFonts w:ascii="TH Sarabun New" w:hAnsi="TH Sarabun New"/>
                <w:b/>
                <w:sz w:val="24"/>
              </w:rPr>
              <w:t>Training Set</w:t>
            </w:r>
          </w:p>
        </w:tc>
        <w:tc>
          <w:tcPr>
            <w:tcW w:type="dxa" w:w="2340"/>
            <w:shd w:fill="F9FBFD"/>
            <w:tcMar>
              <w:top w:w="80" w:type="dxa"/>
              <w:bottom w:w="80" w:type="dxa"/>
              <w:left w:w="100" w:type="dxa"/>
              <w:right w:w="100" w:type="dxa"/>
            </w:tcMar>
          </w:tcPr>
          <w:p>
            <w:pPr>
              <w:spacing w:after="0"/>
            </w:pPr>
            <w:r>
              <w:rPr>
                <w:rFonts w:ascii="TH Sarabun New" w:hAnsi="TH Sarabun New"/>
                <w:sz w:val="24"/>
              </w:rPr>
              <w:t>70%</w:t>
            </w:r>
          </w:p>
        </w:tc>
        <w:tc>
          <w:tcPr>
            <w:tcW w:type="dxa" w:w="2340"/>
            <w:shd w:fill="F9FBFD"/>
            <w:tcMar>
              <w:top w:w="80" w:type="dxa"/>
              <w:bottom w:w="80" w:type="dxa"/>
              <w:left w:w="100" w:type="dxa"/>
              <w:right w:w="100" w:type="dxa"/>
            </w:tcMar>
          </w:tcPr>
          <w:p>
            <w:pPr>
              <w:spacing w:after="0"/>
            </w:pPr>
            <w:r>
              <w:rPr>
                <w:rFonts w:ascii="TH Sarabun New" w:hAnsi="TH Sarabun New"/>
                <w:sz w:val="24"/>
              </w:rPr>
              <w:t>ฝึกสอนพารามิเตอร์ของโมเดล (Backbone, Segmentation, Detection, Heads)</w:t>
            </w:r>
          </w:p>
        </w:tc>
        <w:tc>
          <w:tcPr>
            <w:tcW w:type="dxa" w:w="2340"/>
            <w:shd w:fill="F9FBFD"/>
            <w:tcMar>
              <w:top w:w="80" w:type="dxa"/>
              <w:bottom w:w="80" w:type="dxa"/>
              <w:left w:w="100" w:type="dxa"/>
              <w:right w:w="100" w:type="dxa"/>
            </w:tcMar>
          </w:tcPr>
          <w:p>
            <w:pPr>
              <w:spacing w:after="0"/>
            </w:pPr>
            <w:r>
              <w:rPr>
                <w:rFonts w:ascii="TH Sarabun New" w:hAnsi="TH Sarabun New"/>
                <w:sz w:val="24"/>
              </w:rPr>
              <w:t>สุ่มและจัดกลุ่มเฉพาะ Patient IDs ในกลุ่ม Train</w:t>
            </w:r>
          </w:p>
        </w:tc>
      </w:tr>
      <w:tr>
        <w:tc>
          <w:tcPr>
            <w:tcW w:type="dxa" w:w="2340"/>
            <w:shd w:fill="FFFFFF"/>
            <w:tcMar>
              <w:top w:w="80" w:type="dxa"/>
              <w:bottom w:w="80" w:type="dxa"/>
              <w:left w:w="100" w:type="dxa"/>
              <w:right w:w="100" w:type="dxa"/>
            </w:tcMar>
          </w:tcPr>
          <w:p>
            <w:pPr>
              <w:spacing w:after="0"/>
            </w:pPr>
            <w:r>
              <w:rPr>
                <w:rFonts w:ascii="TH Sarabun New" w:hAnsi="TH Sarabun New"/>
                <w:b/>
                <w:sz w:val="24"/>
              </w:rPr>
              <w:t>Inner Validation Set</w:t>
            </w:r>
          </w:p>
        </w:tc>
        <w:tc>
          <w:tcPr>
            <w:tcW w:type="dxa" w:w="2340"/>
            <w:shd w:fill="FFFFFF"/>
            <w:tcMar>
              <w:top w:w="80" w:type="dxa"/>
              <w:bottom w:w="80" w:type="dxa"/>
              <w:left w:w="100" w:type="dxa"/>
              <w:right w:w="100" w:type="dxa"/>
            </w:tcMar>
          </w:tcPr>
          <w:p>
            <w:pPr>
              <w:spacing w:after="0"/>
            </w:pPr>
            <w:r>
              <w:rPr>
                <w:rFonts w:ascii="TH Sarabun New" w:hAnsi="TH Sarabun New"/>
                <w:sz w:val="24"/>
              </w:rPr>
              <w:t>15%</w:t>
            </w:r>
          </w:p>
        </w:tc>
        <w:tc>
          <w:tcPr>
            <w:tcW w:type="dxa" w:w="2340"/>
            <w:shd w:fill="FFFFFF"/>
            <w:tcMar>
              <w:top w:w="80" w:type="dxa"/>
              <w:bottom w:w="80" w:type="dxa"/>
              <w:left w:w="100" w:type="dxa"/>
              <w:right w:w="100" w:type="dxa"/>
            </w:tcMar>
          </w:tcPr>
          <w:p>
            <w:pPr>
              <w:spacing w:after="0"/>
            </w:pPr>
            <w:r>
              <w:rPr>
                <w:rFonts w:ascii="TH Sarabun New" w:hAnsi="TH Sarabun New"/>
                <w:sz w:val="24"/>
              </w:rPr>
              <w:t>ใช้ทำ Early Stopping, Model EMA, และ Calibrate Thresholds</w:t>
            </w:r>
          </w:p>
        </w:tc>
        <w:tc>
          <w:tcPr>
            <w:tcW w:type="dxa" w:w="2340"/>
            <w:shd w:fill="FFFFFF"/>
            <w:tcMar>
              <w:top w:w="80" w:type="dxa"/>
              <w:bottom w:w="80" w:type="dxa"/>
              <w:left w:w="100" w:type="dxa"/>
              <w:right w:w="100" w:type="dxa"/>
            </w:tcMar>
          </w:tcPr>
          <w:p>
            <w:pPr>
              <w:spacing w:after="0"/>
            </w:pPr>
            <w:r>
              <w:rPr>
                <w:rFonts w:ascii="TH Sarabun New" w:hAnsi="TH Sarabun New"/>
                <w:sz w:val="24"/>
              </w:rPr>
              <w:t>แยกผู้ป่วยออกจาก Outer Val เด็ดขาด</w:t>
            </w:r>
          </w:p>
        </w:tc>
      </w:tr>
      <w:tr>
        <w:tc>
          <w:tcPr>
            <w:tcW w:type="dxa" w:w="2340"/>
            <w:shd w:fill="F9FBFD"/>
            <w:tcMar>
              <w:top w:w="80" w:type="dxa"/>
              <w:bottom w:w="80" w:type="dxa"/>
              <w:left w:w="100" w:type="dxa"/>
              <w:right w:w="100" w:type="dxa"/>
            </w:tcMar>
          </w:tcPr>
          <w:p>
            <w:pPr>
              <w:spacing w:after="0"/>
            </w:pPr>
            <w:r>
              <w:rPr>
                <w:rFonts w:ascii="TH Sarabun New" w:hAnsi="TH Sarabun New"/>
                <w:b/>
                <w:sz w:val="24"/>
              </w:rPr>
              <w:t>Outer Test Set (Frozen)</w:t>
            </w:r>
          </w:p>
        </w:tc>
        <w:tc>
          <w:tcPr>
            <w:tcW w:type="dxa" w:w="2340"/>
            <w:shd w:fill="F9FBFD"/>
            <w:tcMar>
              <w:top w:w="80" w:type="dxa"/>
              <w:bottom w:w="80" w:type="dxa"/>
              <w:left w:w="100" w:type="dxa"/>
              <w:right w:w="100" w:type="dxa"/>
            </w:tcMar>
          </w:tcPr>
          <w:p>
            <w:pPr>
              <w:spacing w:after="0"/>
            </w:pPr>
            <w:r>
              <w:rPr>
                <w:rFonts w:ascii="TH Sarabun New" w:hAnsi="TH Sarabun New"/>
                <w:sz w:val="24"/>
              </w:rPr>
              <w:t>15%</w:t>
            </w:r>
          </w:p>
        </w:tc>
        <w:tc>
          <w:tcPr>
            <w:tcW w:type="dxa" w:w="2340"/>
            <w:shd w:fill="F9FBFD"/>
            <w:tcMar>
              <w:top w:w="80" w:type="dxa"/>
              <w:bottom w:w="80" w:type="dxa"/>
              <w:left w:w="100" w:type="dxa"/>
              <w:right w:w="100" w:type="dxa"/>
            </w:tcMar>
          </w:tcPr>
          <w:p>
            <w:pPr>
              <w:spacing w:after="0"/>
            </w:pPr>
            <w:r>
              <w:rPr>
                <w:rFonts w:ascii="TH Sarabun New" w:hAnsi="TH Sarabun New"/>
                <w:sz w:val="24"/>
              </w:rPr>
              <w:t>ทดสอบประเมินผลครั้งสุดท้ายเพียงรอบเดียว (Unbiased Benchmark)</w:t>
            </w:r>
          </w:p>
        </w:tc>
        <w:tc>
          <w:tcPr>
            <w:tcW w:type="dxa" w:w="2340"/>
            <w:shd w:fill="F9FBFD"/>
            <w:tcMar>
              <w:top w:w="80" w:type="dxa"/>
              <w:bottom w:w="80" w:type="dxa"/>
              <w:left w:w="100" w:type="dxa"/>
              <w:right w:w="100" w:type="dxa"/>
            </w:tcMar>
          </w:tcPr>
          <w:p>
            <w:pPr>
              <w:spacing w:after="0"/>
            </w:pPr>
            <w:r>
              <w:rPr>
                <w:rFonts w:ascii="TH Sarabun New" w:hAnsi="TH Sarabun New"/>
                <w:sz w:val="24"/>
              </w:rPr>
              <w:t>ไม่ถูกแตะต้องหรือใช้ในการจูน Hyperparameter ใดๆ</w:t>
            </w:r>
          </w:p>
        </w:tc>
      </w:tr>
    </w:tbl>
    <w:p>
      <w:pPr>
        <w:spacing w:after="120"/>
      </w:pPr>
    </w:p>
    <w:p>
      <w:pPr>
        <w:keepNext/>
        <w:spacing w:before="240" w:after="120"/>
      </w:pPr>
      <w:r>
        <w:t>4. เทคนิคการเตรียมข้อมูลและการจำลองลักษณะคลื่นเสียง (Ultrasound Preprocessing &amp; Augmentation)</w:t>
      </w:r>
    </w:p>
    <w:p>
      <w:pPr>
        <w:spacing w:before="0" w:after="120" w:line="276" w:lineRule="auto"/>
      </w:pPr>
      <w:r>
        <w:rPr>
          <w:rFonts w:ascii="TH Sarabun New" w:hAnsi="TH Sarabun New"/>
          <w:color w:val="282828"/>
          <w:sz w:val="28"/>
        </w:rPr>
        <w:t>ภาพอัลตราซาวนด์ทางการแพทย์มีความท้าทายเฉพาะตัวที่แตกต่างจากภาพถ่ายทั่วไป (Natural Images) เช่น มีสัญญาณรบกวนแบบ Speckle, มีตัวหนังสือและแถบสเกลของผู้ผลิตเครื่องตรวจติดอยู่บนภาพ (Burned-in Vendor Chrome), และมีความสว่างของภาพที่ไม่คงที่ตามการตั้งค่า Time Gain Compensation (TGC) ของแพทย์ผู้ตรวจ</w:t>
      </w:r>
    </w:p>
    <w:p>
      <w:pPr>
        <w:spacing w:before="0" w:after="120" w:line="276" w:lineRule="auto"/>
      </w:pPr>
      <w:r>
        <w:rPr>
          <w:rFonts w:ascii="TH Sarabun New" w:hAnsi="TH Sarabun New"/>
          <w:b/>
          <w:color w:val="1E1E1E"/>
          <w:sz w:val="28"/>
        </w:rPr>
        <w:t xml:space="preserve">🔍 </w:t>
      </w:r>
      <w:r>
        <w:rPr>
          <w:rFonts w:ascii="TH Sarabun New" w:hAnsi="TH Sarabun New"/>
          <w:color w:val="282828"/>
          <w:sz w:val="28"/>
        </w:rPr>
        <w:t>1. การตรวจจับและตัดขอบเขตพัดเสียง (Ultrasound Fan / Sector Geometric Crop):</w:t>
      </w:r>
    </w:p>
    <w:p>
      <w:pPr>
        <w:spacing w:before="0" w:after="120" w:line="276" w:lineRule="auto"/>
      </w:pPr>
      <w:r>
        <w:rPr>
          <w:rFonts w:ascii="TH Sarabun New" w:hAnsi="TH Sarabun New"/>
          <w:color w:val="282828"/>
          <w:sz w:val="28"/>
        </w:rPr>
        <w:t>ตัวหนังสือข้อมูลผู้ป่วย สเกลความลึก และโลโก้โรงพยาบาลไม่ได้อยู่ในตำแหน่งพิกเซลที่คงที่ (Non-static Chrome) ดังนั้นการใช้ Static Mask จึงไม่สามารถลบออกได้หมด ทีมงานจึงได้พัฒนาระบบ Thresholding + Morphological Opening (detect_fan ใน preprocess.py) เพื่อค้นหา Convex Sector ของคลื่นเสียงและตัดเฉพาะพื้นที่คลื่นเสียงออกมาอย่างสมบูรณ์</w:t>
      </w:r>
    </w:p>
    <w:p>
      <w:pPr>
        <w:spacing w:before="0" w:after="120" w:line="276" w:lineRule="auto"/>
      </w:pPr>
      <w:r>
        <w:rPr>
          <w:rFonts w:ascii="TH Sarabun New" w:hAnsi="TH Sarabun New"/>
          <w:b/>
          <w:color w:val="1E1E1E"/>
          <w:sz w:val="28"/>
        </w:rPr>
        <w:t xml:space="preserve">🛡️ </w:t>
      </w:r>
      <w:r>
        <w:rPr>
          <w:rFonts w:ascii="TH Sarabun New" w:hAnsi="TH Sarabun New"/>
          <w:color w:val="282828"/>
          <w:sz w:val="28"/>
        </w:rPr>
        <w:t>2. การป้องกัน Scanner Fingerprint Confounding Factor:</w:t>
      </w:r>
    </w:p>
    <w:p>
      <w:pPr>
        <w:spacing w:before="0" w:after="120" w:line="276" w:lineRule="auto"/>
      </w:pPr>
      <w:r>
        <w:rPr>
          <w:rFonts w:ascii="TH Sarabun New" w:hAnsi="TH Sarabun New"/>
          <w:color w:val="282828"/>
          <w:sz w:val="28"/>
        </w:rPr>
        <w:t>จากการวิเคราะห์ข้อมูลทางสถิติพบว่า อัตราส่วนภาพ (Aspect Ratio) และขนาด Resolution ดั้งเดิม มีความสัมพันธ์เชิงลวง (Confounding Bias) กับชนิดเครื่องตรวจและกลุ่มโรค (เช่น ภาพ 720x1000 มีค่าความแข็งเฉลี่ย 5.10 kPa ขณะที่ภาพ 730x1020 มีค่าความแข็งเฉลี่ย 6.75 kPa) ระบบจึงทำการปรับขนาดภาพแบบ Fixed Square Stretching สู่ขนาด 256x256 หรือ 320x320 โดยไม่รักษาสัดส่วนเดิม เพื่อทำลาย 'รอยนิ้วมือของเครื่องตรวจ' (Scanner Fingerprint) ไม่ให้โมเดลใช้เป็นทางลัด (Shortcut Learning)</w:t>
      </w:r>
    </w:p>
    <w:p>
      <w:pPr>
        <w:spacing w:before="0" w:after="120" w:line="276" w:lineRule="auto"/>
      </w:pPr>
      <w:r>
        <w:rPr>
          <w:rFonts w:ascii="TH Sarabun New" w:hAnsi="TH Sarabun New"/>
          <w:b/>
          <w:color w:val="1E1E1E"/>
          <w:sz w:val="28"/>
        </w:rPr>
        <w:t xml:space="preserve">🧪 </w:t>
      </w:r>
      <w:r>
        <w:rPr>
          <w:rFonts w:ascii="TH Sarabun New" w:hAnsi="TH Sarabun New"/>
          <w:color w:val="282828"/>
          <w:sz w:val="28"/>
        </w:rPr>
        <w:t>3. ชุดการแปลงข้อมูลจำลองคลื่นเสียง (Ultrasound-Specific Data Augmentations):</w:t>
      </w:r>
    </w:p>
    <w:p>
      <w:pPr>
        <w:pStyle w:val="ListBullet"/>
        <w:spacing w:before="0" w:after="80" w:line="276" w:lineRule="auto"/>
        <w:ind w:left="360"/>
      </w:pPr>
      <w:r>
        <w:rPr>
          <w:rFonts w:ascii="TH Sarabun New" w:hAnsi="TH Sarabun New"/>
          <w:b/>
          <w:color w:val="141414"/>
          <w:sz w:val="28"/>
        </w:rPr>
        <w:t xml:space="preserve">Speckle Noise Simulation: </w:t>
      </w:r>
      <w:r>
        <w:rPr>
          <w:rFonts w:ascii="TH Sarabun New" w:hAnsi="TH Sarabun New"/>
          <w:color w:val="323232"/>
          <w:sz w:val="28"/>
        </w:rPr>
        <w:t>การสร้างสัญญาณรบกวนคลื่นเสียงสะท้อนแบบ Multiplicative: x' = x * (1 + N(0, σ)) โดยจำลองการแทรกสอดของคลื่นเสียงในเนื้อตับจริง ช่วยให้โมเดลไม่ Overfit ต่อสัญญาณรบกวนเฉพาะภาพ</w:t>
      </w:r>
    </w:p>
    <w:p>
      <w:pPr>
        <w:pStyle w:val="ListBullet"/>
        <w:spacing w:before="0" w:after="80" w:line="276" w:lineRule="auto"/>
        <w:ind w:left="360"/>
      </w:pPr>
      <w:r>
        <w:rPr>
          <w:rFonts w:ascii="TH Sarabun New" w:hAnsi="TH Sarabun New"/>
          <w:b/>
          <w:color w:val="141414"/>
          <w:sz w:val="28"/>
        </w:rPr>
        <w:t xml:space="preserve">TGC Gain Shift &amp; Color Jitter: </w:t>
      </w:r>
      <w:r>
        <w:rPr>
          <w:rFonts w:ascii="TH Sarabun New" w:hAnsi="TH Sarabun New"/>
          <w:color w:val="323232"/>
          <w:sz w:val="28"/>
        </w:rPr>
        <w:t>การปรับ Brightness (±25%) และ Contrast (±25%) เพื่อจำลองการหมุนปรับเกนความสว่างของแพทย์และคุณสมบัติของหัวตรวจที่ต่างกัน</w:t>
      </w:r>
    </w:p>
    <w:p>
      <w:pPr>
        <w:pStyle w:val="ListBullet"/>
        <w:spacing w:before="0" w:after="80" w:line="276" w:lineRule="auto"/>
        <w:ind w:left="360"/>
      </w:pPr>
      <w:r>
        <w:rPr>
          <w:rFonts w:ascii="TH Sarabun New" w:hAnsi="TH Sarabun New"/>
          <w:b/>
          <w:color w:val="141414"/>
          <w:sz w:val="28"/>
        </w:rPr>
        <w:t xml:space="preserve">Strict No-Vertical-Flip Rule: </w:t>
      </w:r>
      <w:r>
        <w:rPr>
          <w:rFonts w:ascii="TH Sarabun New" w:hAnsi="TH Sarabun New"/>
          <w:color w:val="323232"/>
          <w:sz w:val="28"/>
        </w:rPr>
        <w:t>ห้ามพลิกภาพกลับหัว (No Vertical Flip / FlipUD = 0.0) โดยเด็ดขาด เพราะในอัลตราซาวนด์ ทิศทางจากบนลงล่างคือ 'ความลึกของคลื่นเสียง' (Acoustic Depth) ซึ่งมีผลต่อการลดทอนของสัญญาณและกายวิภาคศาสตร์ การกลับหัวจะทำให้ภาพผิดหลักฟิสิกส์การแพทย์</w:t>
      </w:r>
    </w:p>
    <w:p>
      <w:pPr>
        <w:pStyle w:val="ListBullet"/>
        <w:spacing w:before="0" w:after="80" w:line="276" w:lineRule="auto"/>
        <w:ind w:left="360"/>
      </w:pPr>
      <w:r>
        <w:rPr>
          <w:rFonts w:ascii="TH Sarabun New" w:hAnsi="TH Sarabun New"/>
          <w:b/>
          <w:color w:val="141414"/>
          <w:sz w:val="28"/>
        </w:rPr>
        <w:t xml:space="preserve">Probe Tilt &amp; Acoustic Occlusion: </w:t>
      </w:r>
      <w:r>
        <w:rPr>
          <w:rFonts w:ascii="TH Sarabun New" w:hAnsi="TH Sarabun New"/>
          <w:color w:val="323232"/>
          <w:sz w:val="28"/>
        </w:rPr>
        <w:t>การเอียงหัวตรวจเล็กน้อย (Degrees ≤ 10°), การเลื่อนภาพ (Translate ≤ 5-10%), การซูม (Scale 0.6-1.0), และการทำ Random Erasing / Cutout ขนาดเล็กเพื่อจำลองการบดบังของเงากระดูกซี่โครงหรือก๊าซในลำไส้</w:t>
      </w:r>
    </w:p>
    <w:p>
      <w:pPr>
        <w:keepNext/>
        <w:spacing w:before="240" w:after="120"/>
      </w:pPr>
      <w:r>
        <w:t>5. กระบวนการฝึกสอนและโครงสร้างโมเดลแต่ละโมดูล (Detailed Model Training)</w:t>
      </w:r>
    </w:p>
    <w:p>
      <w:pPr>
        <w:keepNext/>
        <w:spacing w:before="160" w:after="80"/>
      </w:pPr>
      <w:r>
        <w:t>5.1 ด่านตรวจสอบกายภาพและคัดกรองอวัยวะ (Quality Gate &amp; 10-Class ResNet-18 Gatekeeper)</w:t>
      </w:r>
    </w:p>
    <w:p>
      <w:pPr>
        <w:spacing w:before="0" w:after="120" w:line="276" w:lineRule="auto"/>
      </w:pPr>
      <w:r>
        <w:rPr>
          <w:rFonts w:ascii="TH Sarabun New" w:hAnsi="TH Sarabun New"/>
          <w:color w:val="282828"/>
          <w:sz w:val="28"/>
        </w:rPr>
        <w:t>ทำหน้าที่เป็นปราการด่านแรกในการสกัดกั้นภาพที่ไม่ถูกต้อง ประกอบด้วย 2 องค์ประกอบ:</w:t>
      </w:r>
    </w:p>
    <w:p>
      <w:pPr>
        <w:pStyle w:val="ListBullet"/>
        <w:spacing w:before="0" w:after="80" w:line="276" w:lineRule="auto"/>
        <w:ind w:left="360"/>
      </w:pPr>
      <w:r>
        <w:rPr>
          <w:rFonts w:ascii="TH Sarabun New" w:hAnsi="TH Sarabun New"/>
          <w:b/>
          <w:color w:val="141414"/>
          <w:sz w:val="28"/>
        </w:rPr>
        <w:t xml:space="preserve">Acoustic Physics Envelope: </w:t>
      </w:r>
      <w:r>
        <w:rPr>
          <w:rFonts w:ascii="TH Sarabun New" w:hAnsi="TH Sarabun New"/>
          <w:color w:val="323232"/>
          <w:sz w:val="28"/>
        </w:rPr>
        <w:t>คำนวณตัวชี้วัด No-Reference Metrics ได้แก่ Content Fraction (≥ 0.12), Laplacian Sharpness Variance (≥ 6.0), Contrast STD (≥ 0.045), และ White Saturation Fraction (≤ 0.35) รวมถึงตรวจสอบความสอดคล้องของ Speckle Physics Envelope ตามชนิดหัวตรวจ (Fan / Linear Convex)</w:t>
      </w:r>
    </w:p>
    <w:p>
      <w:pPr>
        <w:pStyle w:val="ListBullet"/>
        <w:spacing w:before="0" w:after="80" w:line="276" w:lineRule="auto"/>
        <w:ind w:left="360"/>
      </w:pPr>
      <w:r>
        <w:rPr>
          <w:rFonts w:ascii="TH Sarabun New" w:hAnsi="TH Sarabun New"/>
          <w:b/>
          <w:color w:val="141414"/>
          <w:sz w:val="28"/>
        </w:rPr>
        <w:t xml:space="preserve">10-Class Organ Classifier: </w:t>
      </w:r>
      <w:r>
        <w:rPr>
          <w:rFonts w:ascii="TH Sarabun New" w:hAnsi="TH Sarabun New"/>
          <w:color w:val="323232"/>
          <w:sz w:val="28"/>
        </w:rPr>
        <w:t>โมเดล ResNet-18 (Pretrained ImageNet) เทรนด้วย Cross-Entropy Loss บนชุดข้อมูลภาพอัลตราซาวนด์อวัยวะต่างๆ 10 คลาส พร้อมฟังก์ชัน Abstain Logic (หากความน่าจะเป็นสูงสุดต่ำกว่า 0.55 หรือ Entropy &gt; 1.30 ระบบจะจัดเป็น UNCERTAIN และส่งต่อให้แพทย์ตรวจสอบ)</w:t>
      </w:r>
    </w:p>
    <w:p>
      <w:pPr>
        <w:keepNext/>
        <w:spacing w:before="160" w:after="80"/>
      </w:pPr>
      <w:r>
        <w:t>5.2 การแบ่งส่วนตับและถุงน้ำดี (Multi-Organ Segmentation: MedSAM2 &amp; U-Net)</w:t>
      </w:r>
    </w:p>
    <w:p>
      <w:pPr>
        <w:spacing w:before="0" w:after="120" w:line="276" w:lineRule="auto"/>
      </w:pPr>
      <w:r>
        <w:rPr>
          <w:rFonts w:ascii="TH Sarabun New" w:hAnsi="TH Sarabun New"/>
          <w:color w:val="282828"/>
          <w:sz w:val="28"/>
        </w:rPr>
        <w:t>การระบุตำแหน่งเนื้อตับที่แม่นยำเป็นหัวใจสำคัญของการประเมินพังผืดและไขมันพอกตับ โครงการได้พัฒนาและเปรียบเทียบโมเดล 2 แนวทาง:</w:t>
      </w:r>
    </w:p>
    <w:p>
      <w:pPr>
        <w:pStyle w:val="ListBullet"/>
        <w:spacing w:before="0" w:after="80" w:line="276" w:lineRule="auto"/>
        <w:ind w:left="360"/>
      </w:pPr>
      <w:r>
        <w:rPr>
          <w:rFonts w:ascii="TH Sarabun New" w:hAnsi="TH Sarabun New"/>
          <w:b/>
          <w:color w:val="141414"/>
          <w:sz w:val="28"/>
        </w:rPr>
        <w:t xml:space="preserve">MedSAM2 (SAM 2.1 Hiera Tiny/Small): </w:t>
      </w:r>
      <w:r>
        <w:rPr>
          <w:rFonts w:ascii="TH Sarabun New" w:hAnsi="TH Sarabun New"/>
          <w:color w:val="323232"/>
          <w:sz w:val="28"/>
        </w:rPr>
        <w:t>โมเดล Vision Transformer (ViT) Foundation Model ทางการแพทย์ที่ใช้ Prompt Box จากโมเดล YOLO Prompter เพื่อสร้าง Mask ความละเอียดสูง สามารถจับขอบเขตตับและหลอดเลือดได้อย่างยอดเยี่ยม</w:t>
      </w:r>
    </w:p>
    <w:p>
      <w:pPr>
        <w:pStyle w:val="ListBullet"/>
        <w:spacing w:before="0" w:after="80" w:line="276" w:lineRule="auto"/>
        <w:ind w:left="360"/>
      </w:pPr>
      <w:r>
        <w:rPr>
          <w:rFonts w:ascii="TH Sarabun New" w:hAnsi="TH Sarabun New"/>
          <w:b/>
          <w:color w:val="141414"/>
          <w:sz w:val="28"/>
        </w:rPr>
        <w:t xml:space="preserve">4-Level Multi-Organ U-Net: </w:t>
      </w:r>
      <w:r>
        <w:rPr>
          <w:rFonts w:ascii="TH Sarabun New" w:hAnsi="TH Sarabun New"/>
          <w:color w:val="323232"/>
          <w:sz w:val="28"/>
        </w:rPr>
        <w:t>โมเดล U-Net 4-Level Encoder-Decoder (1-Channel / 3-Class) ทำการแบ่งส่วน Liver, Gallbladder, และ Background อย่างรวดเร็ว</w:t>
      </w:r>
    </w:p>
    <w:p>
      <w:pPr>
        <w:spacing w:before="0" w:after="120" w:line="276" w:lineRule="auto"/>
      </w:pPr>
      <w:r>
        <w:rPr>
          <w:rFonts w:ascii="TH Sarabun New" w:hAnsi="TH Sarabun New"/>
          <w:b/>
          <w:color w:val="1E1E1E"/>
          <w:sz w:val="28"/>
        </w:rPr>
        <w:t xml:space="preserve">📐 </w:t>
      </w:r>
      <w:r>
        <w:rPr>
          <w:rFonts w:ascii="TH Sarabun New" w:hAnsi="TH Sarabun New"/>
          <w:color w:val="282828"/>
          <w:sz w:val="28"/>
        </w:rPr>
        <w:t>ฟังก์ชันการสูญเสีย CEDiceLoss สำหรับการแบ่งส่วนอวัยวะ:</w:t>
      </w:r>
    </w:p>
    <w:p>
      <w:pPr>
        <w:spacing w:before="0" w:after="120" w:line="276" w:lineRule="auto"/>
      </w:pPr>
      <w:r>
        <w:rPr>
          <w:rFonts w:ascii="TH Sarabun New" w:hAnsi="TH Sarabun New"/>
          <w:color w:val="282828"/>
          <w:sz w:val="28"/>
        </w:rPr>
        <w:t>เนื่องจากตับครอบคลุมพื้นที่ประมาณ 18% ของภาพ และถุงน้ำดีครอบคลุมเพียง 2.4% ขณะที่พื้นหลังกินพื้นที่มากกว่า 80% การใช้ Cross-Entropy ธรรมดาจะทำให้โมเดลละเลยอวัยวะขนาดเล็ก ทีมงานจึงใช้ CEDiceLoss:</w:t>
      </w:r>
    </w:p>
    <w:tbl>
      <w:tblPr>
        <w:tblW w:type="auto" w:w="0"/>
        <w:jc w:val="center"/>
        <w:tblLook w:firstColumn="1" w:firstRow="1" w:lastColumn="0" w:lastRow="0" w:noHBand="0" w:noVBand="1" w:val="04A0"/>
      </w:tblPr>
      <w:tblGrid>
        <w:gridCol w:w="9360"/>
      </w:tblGrid>
      <w:tr>
        <w:tc>
          <w:tcPr>
            <w:tcW w:type="dxa" w:w="9360"/>
            <w:shd w:fill="F4FAF8"/>
            <w:tcMar>
              <w:top w:w="160" w:type="dxa"/>
              <w:bottom w:w="160" w:type="dxa"/>
              <w:left w:w="240" w:type="dxa"/>
              <w:right w:w="200" w:type="dxa"/>
            </w:tcMar>
            <w:tcBorders>
              <w:left w:val="single" w:sz="24" w:space="0" w:color="00A86B"/>
              <w:top w:val="none"/>
              <w:right w:val="none"/>
              <w:bottom w:val="none"/>
            </w:tcBorders>
          </w:tcPr>
          <w:p>
            <w:pPr>
              <w:spacing w:before="40" w:after="80"/>
            </w:pPr>
            <w:r>
              <w:rPr>
                <w:rFonts w:ascii="TH Sarabun New" w:hAnsi="TH Sarabun New"/>
                <w:b/>
                <w:color w:val="0B4F6C"/>
                <w:sz w:val="28"/>
              </w:rPr>
              <w:t>📌 สูตรคำนวณ Loss ฟังก์ชัน CEDiceLoss</w:t>
              <w:br/>
            </w:r>
            <w:r>
              <w:rPr>
                <w:rFonts w:ascii="TH Sarabun New" w:hAnsi="TH Sarabun New"/>
                <w:color w:val="282828"/>
                <w:sz w:val="26"/>
              </w:rPr>
              <w:t>L_total = CrossEntropyLoss(logits, targets; weights=[0.3, 1.0, 1.5]) + SoftDiceLoss(logits, targets)</w:t>
              <w:br/>
              <w:br/>
              <w:t>โดย SoftDiceLoss คำนวณเฉพาะคลาสอวัยวะ (ไม่รวม Background) เพื่อบังคับให้โมเดลใส่ใจความถูกต้องของรูปทรงตับและถุงน้ำดีอย่างสูงสุด</w:t>
            </w:r>
          </w:p>
        </w:tc>
      </w:tr>
    </w:tbl>
    <w:p>
      <w:pPr>
        <w:spacing w:before="0" w:after="120"/>
      </w:pPr>
    </w:p>
    <w:p>
      <w:pPr>
        <w:keepNext/>
        <w:spacing w:before="160" w:after="80"/>
      </w:pPr>
      <w:r>
        <w:t>5.3 โมเดลประเมินระยะพังผืดในตับ (FibrosisNet 5-Fold Stratified Ensemble: F0–F4)</w:t>
      </w:r>
    </w:p>
    <w:p>
      <w:pPr>
        <w:spacing w:before="0" w:after="120" w:line="276" w:lineRule="auto"/>
      </w:pPr>
      <w:r>
        <w:rPr>
          <w:rFonts w:ascii="TH Sarabun New" w:hAnsi="TH Sarabun New"/>
          <w:color w:val="282828"/>
          <w:sz w:val="28"/>
        </w:rPr>
        <w:t>การวินิจฉัยพังผืดในตับตามมาตรฐาน METAVIR (F0, F1, F2, F3, F4) มักถูกมองเป็นโจทย์ Classification ทั่วไป แต่ในความเป็นจริง ความแข็งของเนื้อตับ (Liver Stiffness วัดเป็นหน่วย kPa ด้วย Transient Elastography: TE) เป็น 'ปริมาณสเกลาร์ต่อเนื่อง' การจัดกลุ่มแบบหยาบจะสูญเสียข้อมูลสำคัญ (เช่น ผู้ป่วย F0 ที่ 2.4 kPa กับ 5.9 kPa มีความเสี่ยงต่างกันมาก แต่ผู้ป่วย F0 ที่ 5.9 kPa กับ F1 ที่ 6.0 kPa แทบไม่ต่างกันในทางชีวภาพ)</w:t>
      </w:r>
    </w:p>
    <w:p>
      <w:pPr>
        <w:spacing w:before="0" w:after="120" w:line="276" w:lineRule="auto"/>
      </w:pPr>
      <w:r>
        <w:rPr>
          <w:rFonts w:ascii="TH Sarabun New" w:hAnsi="TH Sarabun New"/>
          <w:b/>
          <w:color w:val="1E1E1E"/>
          <w:sz w:val="28"/>
        </w:rPr>
        <w:t xml:space="preserve">🧬 </w:t>
      </w:r>
      <w:r>
        <w:rPr>
          <w:rFonts w:ascii="TH Sarabun New" w:hAnsi="TH Sarabun New"/>
          <w:color w:val="282828"/>
          <w:sz w:val="28"/>
        </w:rPr>
        <w:t>สถาปัตยกรรมและการออกแบบการเทรนของ FibrosisNet:</w:t>
      </w:r>
    </w:p>
    <w:p>
      <w:pPr>
        <w:pStyle w:val="ListBullet"/>
        <w:spacing w:before="0" w:after="80" w:line="276" w:lineRule="auto"/>
        <w:ind w:left="360"/>
      </w:pPr>
      <w:r>
        <w:rPr>
          <w:rFonts w:ascii="TH Sarabun New" w:hAnsi="TH Sarabun New"/>
          <w:b/>
          <w:color w:val="141414"/>
          <w:sz w:val="28"/>
        </w:rPr>
        <w:t xml:space="preserve">Backbone &amp; Multi-View Fusion: </w:t>
      </w:r>
      <w:r>
        <w:rPr>
          <w:rFonts w:ascii="TH Sarabun New" w:hAnsi="TH Sarabun New"/>
          <w:color w:val="323232"/>
          <w:sz w:val="28"/>
        </w:rPr>
        <w:t>ใช้ ResNet-18 และ ConvNeXt-Tiny เป็น Backbone ดึงคุณลักษณะจากภาพที่ถูก Mask ตัดเฉพาะเนื้อตับ (Liver-Mask Cropped Parenchyma) พร้อม View Embedding เพื่อรับรู้มุมมองการตรวจ (เช่น FPH, GBH, LHA, RH)</w:t>
      </w:r>
    </w:p>
    <w:p>
      <w:pPr>
        <w:pStyle w:val="ListBullet"/>
        <w:spacing w:before="0" w:after="80" w:line="276" w:lineRule="auto"/>
        <w:ind w:left="360"/>
      </w:pPr>
      <w:r>
        <w:rPr>
          <w:rFonts w:ascii="TH Sarabun New" w:hAnsi="TH Sarabun New"/>
          <w:b/>
          <w:color w:val="141414"/>
          <w:sz w:val="28"/>
        </w:rPr>
        <w:t xml:space="preserve">Primary Head - Log Stiffness Regression: </w:t>
      </w:r>
      <w:r>
        <w:rPr>
          <w:rFonts w:ascii="TH Sarabun New" w:hAnsi="TH Sarabun New"/>
          <w:color w:val="323232"/>
          <w:sz w:val="28"/>
        </w:rPr>
        <w:t>ทำหน้าที่ทำนายค่า log(kPa) ต่อเนื่อง ซึ่งช่วยให้ผู้ป่วยทั้ง 730 รายส่งสัญญาณการเรียนรู้ได้อย่างมีประสิทธิภาพ แม้ในกลุ่ม F3 ที่มีจำนวนตัวอย่างน้อย</w:t>
      </w:r>
    </w:p>
    <w:p>
      <w:pPr>
        <w:pStyle w:val="ListBullet"/>
        <w:spacing w:before="0" w:after="80" w:line="276" w:lineRule="auto"/>
        <w:ind w:left="360"/>
      </w:pPr>
      <w:r>
        <w:rPr>
          <w:rFonts w:ascii="TH Sarabun New" w:hAnsi="TH Sarabun New"/>
          <w:b/>
          <w:color w:val="141414"/>
          <w:sz w:val="28"/>
        </w:rPr>
        <w:t xml:space="preserve">Auxiliary Head 1 - CORN Ordinal Classification: </w:t>
      </w:r>
      <w:r>
        <w:rPr>
          <w:rFonts w:ascii="TH Sarabun New" w:hAnsi="TH Sarabun New"/>
          <w:color w:val="323232"/>
          <w:sz w:val="28"/>
        </w:rPr>
        <w:t>ทำหน้าที่สร้างขอบเขตการตัดสินใจตามเกณฑ์ทางคลินิก (Cutoffs: 6.0, 7.1, 8.7, 10.3 kPa) โดยทำนายความน่าจะเป็นตามลำดับขั้น P(stage ≥ F1), P(stage ≥ F2), P(stage ≥ F3), P(F4) ซึ่งรับประกันว่าค่าความน่าจะเป็นสะสมจะลดหลั่นอย่างสมเหตุสมผลทางคณิตศาสตร์</w:t>
      </w:r>
    </w:p>
    <w:p>
      <w:pPr>
        <w:pStyle w:val="ListBullet"/>
        <w:spacing w:before="0" w:after="80" w:line="276" w:lineRule="auto"/>
        <w:ind w:left="360"/>
      </w:pPr>
      <w:r>
        <w:rPr>
          <w:rFonts w:ascii="TH Sarabun New" w:hAnsi="TH Sarabun New"/>
          <w:b/>
          <w:color w:val="141414"/>
          <w:sz w:val="28"/>
        </w:rPr>
        <w:t xml:space="preserve">Auxiliary Head 2 - Masked SWE Supervision: </w:t>
      </w:r>
      <w:r>
        <w:rPr>
          <w:rFonts w:ascii="TH Sarabun New" w:hAnsi="TH Sarabun New"/>
          <w:color w:val="323232"/>
          <w:sz w:val="28"/>
        </w:rPr>
        <w:t>ดึงสัญญาณชี้นำเสริมจากการตรวจ 2D Shear Wave Elastography (2D-SWE) ในระหว่างการเทรน (Multi-Task Learning) โดยทำการ Mask ข้ามแถวที่ไม่มีผลตรวจ SWE</w:t>
      </w:r>
    </w:p>
    <w:p>
      <w:pPr>
        <w:pStyle w:val="ListBullet"/>
        <w:spacing w:before="0" w:after="80" w:line="276" w:lineRule="auto"/>
        <w:ind w:left="360"/>
      </w:pPr>
      <w:r>
        <w:rPr>
          <w:rFonts w:ascii="TH Sarabun New" w:hAnsi="TH Sarabun New"/>
          <w:b/>
          <w:color w:val="141414"/>
          <w:sz w:val="28"/>
        </w:rPr>
        <w:t xml:space="preserve">Model EMA &amp; Test-Time Augmentation: </w:t>
      </w:r>
      <w:r>
        <w:rPr>
          <w:rFonts w:ascii="TH Sarabun New" w:hAnsi="TH Sarabun New"/>
          <w:color w:val="323232"/>
          <w:sz w:val="28"/>
        </w:rPr>
        <w:t>การเฉลี่ยน้ำหนักโมเดลแบบ Exponential Moving Average (EMA) เพื่อป้องกันไม่ให้น้ำหนักแกว่งจากการอัปเดต และใช้ Test-Time Augmentation (TTA) เฉลี่ยผลการทำนายแบบ Horizontal Flip ในขั้นตอนการทดสอบ</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120"/>
            <w:shd w:fill="0B4F6C"/>
            <w:tcMar>
              <w:top w:w="80" w:type="dxa"/>
              <w:bottom w:w="80" w:type="dxa"/>
              <w:left w:w="100" w:type="dxa"/>
              <w:right w:w="100" w:type="dxa"/>
            </w:tcMar>
          </w:tcPr>
          <w:p>
            <w:pPr>
              <w:spacing w:after="0"/>
            </w:pPr>
            <w:r>
              <w:rPr>
                <w:rFonts w:ascii="TH Sarabun New" w:hAnsi="TH Sarabun New"/>
                <w:b/>
                <w:color w:val="FFFFFF"/>
                <w:sz w:val="26"/>
              </w:rPr>
              <w:t>องค์ประกอบ Loss</w:t>
            </w:r>
          </w:p>
        </w:tc>
        <w:tc>
          <w:tcPr>
            <w:tcW w:type="dxa" w:w="3120"/>
            <w:shd w:fill="0B4F6C"/>
            <w:tcMar>
              <w:top w:w="80" w:type="dxa"/>
              <w:bottom w:w="80" w:type="dxa"/>
              <w:left w:w="100" w:type="dxa"/>
              <w:right w:w="100" w:type="dxa"/>
            </w:tcMar>
          </w:tcPr>
          <w:p>
            <w:pPr>
              <w:spacing w:after="0"/>
            </w:pPr>
            <w:r>
              <w:rPr>
                <w:rFonts w:ascii="TH Sarabun New" w:hAnsi="TH Sarabun New"/>
                <w:b/>
                <w:color w:val="FFFFFF"/>
                <w:sz w:val="26"/>
              </w:rPr>
              <w:t>ฟังก์ชันทางคณิตศาสตร์</w:t>
            </w:r>
          </w:p>
        </w:tc>
        <w:tc>
          <w:tcPr>
            <w:tcW w:type="dxa" w:w="3120"/>
            <w:shd w:fill="0B4F6C"/>
            <w:tcMar>
              <w:top w:w="80" w:type="dxa"/>
              <w:bottom w:w="80" w:type="dxa"/>
              <w:left w:w="100" w:type="dxa"/>
              <w:right w:w="100" w:type="dxa"/>
            </w:tcMar>
          </w:tcPr>
          <w:p>
            <w:pPr>
              <w:spacing w:after="0"/>
            </w:pPr>
            <w:r>
              <w:rPr>
                <w:rFonts w:ascii="TH Sarabun New" w:hAnsi="TH Sarabun New"/>
                <w:b/>
                <w:color w:val="FFFFFF"/>
                <w:sz w:val="26"/>
              </w:rPr>
              <w:t>น้ำหนัก (Loss Weight)</w:t>
            </w:r>
          </w:p>
        </w:tc>
      </w:tr>
      <w:tr>
        <w:tc>
          <w:tcPr>
            <w:tcW w:type="dxa" w:w="3120"/>
            <w:shd w:fill="F9FBFD"/>
            <w:tcMar>
              <w:top w:w="80" w:type="dxa"/>
              <w:bottom w:w="80" w:type="dxa"/>
              <w:left w:w="100" w:type="dxa"/>
              <w:right w:w="100" w:type="dxa"/>
            </w:tcMar>
          </w:tcPr>
          <w:p>
            <w:pPr>
              <w:spacing w:after="0"/>
            </w:pPr>
            <w:r>
              <w:rPr>
                <w:rFonts w:ascii="TH Sarabun New" w:hAnsi="TH Sarabun New"/>
                <w:b/>
                <w:sz w:val="24"/>
              </w:rPr>
              <w:t>Regression Loss</w:t>
            </w:r>
          </w:p>
        </w:tc>
        <w:tc>
          <w:tcPr>
            <w:tcW w:type="dxa" w:w="3120"/>
            <w:shd w:fill="F9FBFD"/>
            <w:tcMar>
              <w:top w:w="80" w:type="dxa"/>
              <w:bottom w:w="80" w:type="dxa"/>
              <w:left w:w="100" w:type="dxa"/>
              <w:right w:w="100" w:type="dxa"/>
            </w:tcMar>
          </w:tcPr>
          <w:p>
            <w:pPr>
              <w:spacing w:after="0"/>
            </w:pPr>
            <w:r>
              <w:rPr>
                <w:rFonts w:ascii="TH Sarabun New" w:hAnsi="TH Sarabun New"/>
                <w:sz w:val="24"/>
              </w:rPr>
              <w:t>Huber Loss (Smooth L1) บน log(kPa) ด้วย delta = 0.3</w:t>
            </w:r>
          </w:p>
        </w:tc>
        <w:tc>
          <w:tcPr>
            <w:tcW w:type="dxa" w:w="3120"/>
            <w:shd w:fill="F9FBFD"/>
            <w:tcMar>
              <w:top w:w="80" w:type="dxa"/>
              <w:bottom w:w="80" w:type="dxa"/>
              <w:left w:w="100" w:type="dxa"/>
              <w:right w:w="100" w:type="dxa"/>
            </w:tcMar>
          </w:tcPr>
          <w:p>
            <w:pPr>
              <w:spacing w:after="0"/>
            </w:pPr>
            <w:r>
              <w:rPr>
                <w:rFonts w:ascii="TH Sarabun New" w:hAnsi="TH Sarabun New"/>
                <w:sz w:val="24"/>
              </w:rPr>
              <w:t>1.00 (Primary Loss)</w:t>
            </w:r>
          </w:p>
        </w:tc>
      </w:tr>
      <w:tr>
        <w:tc>
          <w:tcPr>
            <w:tcW w:type="dxa" w:w="3120"/>
            <w:shd w:fill="FFFFFF"/>
            <w:tcMar>
              <w:top w:w="80" w:type="dxa"/>
              <w:bottom w:w="80" w:type="dxa"/>
              <w:left w:w="100" w:type="dxa"/>
              <w:right w:w="100" w:type="dxa"/>
            </w:tcMar>
          </w:tcPr>
          <w:p>
            <w:pPr>
              <w:spacing w:after="0"/>
            </w:pPr>
            <w:r>
              <w:rPr>
                <w:rFonts w:ascii="TH Sarabun New" w:hAnsi="TH Sarabun New"/>
                <w:b/>
                <w:sz w:val="24"/>
              </w:rPr>
              <w:t>Ordinal Loss</w:t>
            </w:r>
          </w:p>
        </w:tc>
        <w:tc>
          <w:tcPr>
            <w:tcW w:type="dxa" w:w="3120"/>
            <w:shd w:fill="FFFFFF"/>
            <w:tcMar>
              <w:top w:w="80" w:type="dxa"/>
              <w:bottom w:w="80" w:type="dxa"/>
              <w:left w:w="100" w:type="dxa"/>
              <w:right w:w="100" w:type="dxa"/>
            </w:tcMar>
          </w:tcPr>
          <w:p>
            <w:pPr>
              <w:spacing w:after="0"/>
            </w:pPr>
            <w:r>
              <w:rPr>
                <w:rFonts w:ascii="TH Sarabun New" w:hAnsi="TH Sarabun New"/>
                <w:sz w:val="24"/>
              </w:rPr>
              <w:t>Conditional Ordinal Regression (CORN) Binary Cross Entropy</w:t>
            </w:r>
          </w:p>
        </w:tc>
        <w:tc>
          <w:tcPr>
            <w:tcW w:type="dxa" w:w="3120"/>
            <w:shd w:fill="FFFFFF"/>
            <w:tcMar>
              <w:top w:w="80" w:type="dxa"/>
              <w:bottom w:w="80" w:type="dxa"/>
              <w:left w:w="100" w:type="dxa"/>
              <w:right w:w="100" w:type="dxa"/>
            </w:tcMar>
          </w:tcPr>
          <w:p>
            <w:pPr>
              <w:spacing w:after="0"/>
            </w:pPr>
            <w:r>
              <w:rPr>
                <w:rFonts w:ascii="TH Sarabun New" w:hAnsi="TH Sarabun New"/>
                <w:sz w:val="24"/>
              </w:rPr>
              <w:t>0.30 (Auxiliary)</w:t>
            </w:r>
          </w:p>
        </w:tc>
      </w:tr>
      <w:tr>
        <w:tc>
          <w:tcPr>
            <w:tcW w:type="dxa" w:w="3120"/>
            <w:shd w:fill="F9FBFD"/>
            <w:tcMar>
              <w:top w:w="80" w:type="dxa"/>
              <w:bottom w:w="80" w:type="dxa"/>
              <w:left w:w="100" w:type="dxa"/>
              <w:right w:w="100" w:type="dxa"/>
            </w:tcMar>
          </w:tcPr>
          <w:p>
            <w:pPr>
              <w:spacing w:after="0"/>
            </w:pPr>
            <w:r>
              <w:rPr>
                <w:rFonts w:ascii="TH Sarabun New" w:hAnsi="TH Sarabun New"/>
                <w:b/>
                <w:sz w:val="24"/>
              </w:rPr>
              <w:t>Elastography Loss</w:t>
            </w:r>
          </w:p>
        </w:tc>
        <w:tc>
          <w:tcPr>
            <w:tcW w:type="dxa" w:w="3120"/>
            <w:shd w:fill="F9FBFD"/>
            <w:tcMar>
              <w:top w:w="80" w:type="dxa"/>
              <w:bottom w:w="80" w:type="dxa"/>
              <w:left w:w="100" w:type="dxa"/>
              <w:right w:w="100" w:type="dxa"/>
            </w:tcMar>
          </w:tcPr>
          <w:p>
            <w:pPr>
              <w:spacing w:after="0"/>
            </w:pPr>
            <w:r>
              <w:rPr>
                <w:rFonts w:ascii="TH Sarabun New" w:hAnsi="TH Sarabun New"/>
                <w:sz w:val="24"/>
              </w:rPr>
              <w:t>Masked Cross-Entropy บนระยะ SWE Stages</w:t>
            </w:r>
          </w:p>
        </w:tc>
        <w:tc>
          <w:tcPr>
            <w:tcW w:type="dxa" w:w="3120"/>
            <w:shd w:fill="F9FBFD"/>
            <w:tcMar>
              <w:top w:w="80" w:type="dxa"/>
              <w:bottom w:w="80" w:type="dxa"/>
              <w:left w:w="100" w:type="dxa"/>
              <w:right w:w="100" w:type="dxa"/>
            </w:tcMar>
          </w:tcPr>
          <w:p>
            <w:pPr>
              <w:spacing w:after="0"/>
            </w:pPr>
            <w:r>
              <w:rPr>
                <w:rFonts w:ascii="TH Sarabun New" w:hAnsi="TH Sarabun New"/>
                <w:sz w:val="24"/>
              </w:rPr>
              <w:t>0.10 (Auxiliary)</w:t>
            </w:r>
          </w:p>
        </w:tc>
      </w:tr>
    </w:tbl>
    <w:p>
      <w:pPr>
        <w:spacing w:after="120"/>
      </w:pPr>
    </w:p>
    <w:p>
      <w:pPr>
        <w:keepNext/>
        <w:spacing w:before="160" w:after="80"/>
      </w:pPr>
      <w:r>
        <w:t>5.4 โมเดลตรวจจับและระบุรอยโรคเฉพาะที่ (Focal Lesion Detection: YOLOv8 7-Class)</w:t>
      </w:r>
    </w:p>
    <w:p>
      <w:pPr>
        <w:spacing w:before="0" w:after="120" w:line="276" w:lineRule="auto"/>
      </w:pPr>
      <w:r>
        <w:rPr>
          <w:rFonts w:ascii="TH Sarabun New" w:hAnsi="TH Sarabun New"/>
          <w:color w:val="282828"/>
          <w:sz w:val="28"/>
        </w:rPr>
        <w:t>รอยโรคในตับจากการตรวจอัลตราซาวนด์มีความหลากหลายทั้งชนิดที่ไม่เป็นอันตราย (Benign) และเนื้องอกร้ายแรง (Malignant) ทีมงานได้ฝึกสอนโมเดล YOLOv8s (Small) และ YOLO11s เพื่อตรวจจับและจำแนก 7 คลาสสำคัญ ได้แก่:</w:t>
      </w:r>
    </w:p>
    <w:p>
      <w:pPr>
        <w:pStyle w:val="ListBullet"/>
        <w:spacing w:before="0" w:after="80" w:line="276" w:lineRule="auto"/>
        <w:ind w:left="360"/>
      </w:pPr>
      <w:r>
        <w:rPr>
          <w:rFonts w:ascii="TH Sarabun New" w:hAnsi="TH Sarabun New"/>
          <w:b/>
          <w:color w:val="141414"/>
          <w:sz w:val="28"/>
        </w:rPr>
        <w:t xml:space="preserve">คลาสรอยโรค: </w:t>
      </w:r>
      <w:r>
        <w:rPr>
          <w:rFonts w:ascii="TH Sarabun New" w:hAnsi="TH Sarabun New"/>
          <w:color w:val="323232"/>
          <w:sz w:val="28"/>
        </w:rPr>
        <w:t>1. Hemangioma (เนื้องอกหลอดเลือด), 2. Hepatic Cyst (ถุงน้ำในตับ), 3. Calcification (หินปูน), 4. Metastasis (มะเร็งแพร่กระจาย), 5. Hepatocellular Carcinoma: HCC (มะเร็งเซลล์ตับ), 6. Cholangiocarcinoma: CCA (มะเร็งท่อน้ำดี), 7. Focal Fatty Change / Sparing: FFC/FFS (กลุ่มไขมันสะสมหรือเว้นเฉพาะที่)</w:t>
      </w:r>
    </w:p>
    <w:p>
      <w:pPr>
        <w:pStyle w:val="ListBullet"/>
        <w:spacing w:before="0" w:after="80" w:line="276" w:lineRule="auto"/>
        <w:ind w:left="360"/>
      </w:pPr>
      <w:r>
        <w:rPr>
          <w:rFonts w:ascii="TH Sarabun New" w:hAnsi="TH Sarabun New"/>
          <w:b/>
          <w:color w:val="141414"/>
          <w:sz w:val="28"/>
        </w:rPr>
        <w:t xml:space="preserve">ไฮเปอร์พารามิเตอร์: </w:t>
      </w:r>
      <w:r>
        <w:rPr>
          <w:rFonts w:ascii="TH Sarabun New" w:hAnsi="TH Sarabun New"/>
          <w:color w:val="323232"/>
          <w:sz w:val="28"/>
        </w:rPr>
        <w:t>ใช้ Anchor-free Decoupled Head ร่วมกับ CIoU / DFL (Distribution Focal Loss) และการเทรนแบบ Multi-Scale (640x640) เป็นเวลา 100 Epochs ด้วย Optimizer AdamW (lr=1e-3, Cosine Annealing Scheduler)</w:t>
      </w:r>
    </w:p>
    <w:p>
      <w:pPr>
        <w:pStyle w:val="ListBullet"/>
        <w:spacing w:before="0" w:after="80" w:line="276" w:lineRule="auto"/>
        <w:ind w:left="360"/>
      </w:pPr>
      <w:r>
        <w:rPr>
          <w:rFonts w:ascii="TH Sarabun New" w:hAnsi="TH Sarabun New"/>
          <w:b/>
          <w:color w:val="141414"/>
          <w:sz w:val="28"/>
        </w:rPr>
        <w:t xml:space="preserve">Spatial Containment Guardrail: </w:t>
      </w:r>
      <w:r>
        <w:rPr>
          <w:rFonts w:ascii="TH Sarabun New" w:hAnsi="TH Sarabun New"/>
          <w:color w:val="323232"/>
          <w:sz w:val="28"/>
        </w:rPr>
        <w:t>เนื่องจากเงาของกระดูกซี่โครง (Rib Shadow) ก๊าซในกระเพาะอาหาร หรือหลอดเลือดนอกตับ อาจมีลักษณะสะท้อนคลื่นคล้ายรอยโรค ระบบจึงบังคับใช้กฎ Spatial Containment: Bounding Box จะต้องมีจุดศูนย์กลางอยู่ภายใน Liver Mask หรือมีพื้นที่ทับซ้อนกับตับไม่น้อยกว่า 25% หากอยู่นอกตับ ระบบจะตัดทิ้งทันที ช่วยลด False Positive ได้อย่างเด็ดขาด</w:t>
      </w:r>
    </w:p>
    <w:p>
      <w:pPr>
        <w:keepNext/>
        <w:spacing w:before="160" w:after="80"/>
      </w:pPr>
      <w:r>
        <w:t>5.5 การประเมินภาวะไขมันพอกตับและความเสี่ยงพยาธิใบไม้ตับ (Steatosis &amp; CCA Risk Specialists)</w:t>
      </w:r>
    </w:p>
    <w:p>
      <w:pPr>
        <w:pStyle w:val="ListBullet"/>
        <w:spacing w:before="0" w:after="80" w:line="276" w:lineRule="auto"/>
        <w:ind w:left="360"/>
      </w:pPr>
      <w:r>
        <w:rPr>
          <w:rFonts w:ascii="TH Sarabun New" w:hAnsi="TH Sarabun New"/>
          <w:b/>
          <w:color w:val="141414"/>
          <w:sz w:val="28"/>
        </w:rPr>
        <w:t xml:space="preserve">Steatosis Attenuation Specialist (S0–S3): </w:t>
      </w:r>
      <w:r>
        <w:rPr>
          <w:rFonts w:ascii="TH Sarabun New" w:hAnsi="TH Sarabun New"/>
          <w:color w:val="323232"/>
          <w:sz w:val="28"/>
        </w:rPr>
        <w:t>วิเคราะห์การลดทอนของลำคลื่นเสียงในแนวลึก (Beam Attenuation Ratio = I_near / I_far) ภายใน Liver Mask ควบคู่กับความสว่างเฉลี่ยของเนื้อตับ (Hepatic Brightness) และการเปรียบเทียบกับเนื้อไต (Hepatorenal Index) เพื่อจัดระยะความรุนแรง S0, S1, S2, S3 ได้อย่างแม่นยำและอิงหลักฟิสิกส์คลื่นเสียง</w:t>
      </w:r>
    </w:p>
    <w:p>
      <w:pPr>
        <w:pStyle w:val="ListBullet"/>
        <w:spacing w:before="0" w:after="80" w:line="276" w:lineRule="auto"/>
        <w:ind w:left="360"/>
      </w:pPr>
      <w:r>
        <w:rPr>
          <w:rFonts w:ascii="TH Sarabun New" w:hAnsi="TH Sarabun New"/>
          <w:b/>
          <w:color w:val="141414"/>
          <w:sz w:val="28"/>
        </w:rPr>
        <w:t xml:space="preserve">Liver Fluke &amp; CCA Risk Specialist: </w:t>
      </w:r>
      <w:r>
        <w:rPr>
          <w:rFonts w:ascii="TH Sarabun New" w:hAnsi="TH Sarabun New"/>
          <w:color w:val="323232"/>
          <w:sz w:val="28"/>
        </w:rPr>
        <w:t>วิเคราะห์การหนาตัวของเยื่อบุรอบท่อน้ำดีในตับ (Periportal Echo-Texture / Cuffing Index) ผสานรวมกับประวัติเสี่ยงของผู้ป่วย (เช่น ประวัติการรับประทานปลาน้ำจืดดิบ, ประวัติการรักษาพยาธิใบไม้ตับ, และประวัติมะเร็งในครอบครัว) เพื่อจำแนกความเสี่ยงออกเป็น Negative, Possible, หรือ Probable</w:t>
      </w:r>
    </w:p>
    <w:p>
      <w:pPr>
        <w:keepNext/>
        <w:spacing w:before="240" w:after="120"/>
      </w:pPr>
      <w:r>
        <w:t>6. เกณฑ์การวัดผลและผลการทดสอบความแม่นยำทางคลินิก (Evaluation &amp; Benchmarks)</w:t>
      </w:r>
    </w:p>
    <w:p>
      <w:pPr>
        <w:spacing w:before="0" w:after="120" w:line="276" w:lineRule="auto"/>
      </w:pPr>
      <w:r>
        <w:rPr>
          <w:rFonts w:ascii="TH Sarabun New" w:hAnsi="TH Sarabun New"/>
          <w:color w:val="282828"/>
          <w:sz w:val="28"/>
        </w:rPr>
        <w:t>การประเมินประสิทธิภาพของระบบ SmartLiva กระทำผ่านชุดการทดสอบมาตรฐานทางการแพทย์ที่เข้มงวด ทั้งในระดับพิกเซล (Segmentation), ระดับการตรวจต่อผู้ป่วย (Exam-Level AUROC), และการทดสอบเทียบกับผลการตรวจจริง (Real Patient Benchmark):</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340"/>
            <w:shd w:fill="0B4F6C"/>
            <w:tcMar>
              <w:top w:w="80" w:type="dxa"/>
              <w:bottom w:w="80" w:type="dxa"/>
              <w:left w:w="100" w:type="dxa"/>
              <w:right w:w="100" w:type="dxa"/>
            </w:tcMar>
          </w:tcPr>
          <w:p>
            <w:pPr>
              <w:spacing w:after="0"/>
            </w:pPr>
            <w:r>
              <w:rPr>
                <w:rFonts w:ascii="TH Sarabun New" w:hAnsi="TH Sarabun New"/>
                <w:b/>
                <w:color w:val="FFFFFF"/>
                <w:sz w:val="26"/>
              </w:rPr>
              <w:t>โมดูล AI</w:t>
            </w:r>
          </w:p>
        </w:tc>
        <w:tc>
          <w:tcPr>
            <w:tcW w:type="dxa" w:w="2340"/>
            <w:shd w:fill="0B4F6C"/>
            <w:tcMar>
              <w:top w:w="80" w:type="dxa"/>
              <w:bottom w:w="80" w:type="dxa"/>
              <w:left w:w="100" w:type="dxa"/>
              <w:right w:w="100" w:type="dxa"/>
            </w:tcMar>
          </w:tcPr>
          <w:p>
            <w:pPr>
              <w:spacing w:after="0"/>
            </w:pPr>
            <w:r>
              <w:rPr>
                <w:rFonts w:ascii="TH Sarabun New" w:hAnsi="TH Sarabun New"/>
                <w:b/>
                <w:color w:val="FFFFFF"/>
                <w:sz w:val="26"/>
              </w:rPr>
              <w:t>ตัวชี้วัดหลัก (Primary Metric)</w:t>
            </w:r>
          </w:p>
        </w:tc>
        <w:tc>
          <w:tcPr>
            <w:tcW w:type="dxa" w:w="2340"/>
            <w:shd w:fill="0B4F6C"/>
            <w:tcMar>
              <w:top w:w="80" w:type="dxa"/>
              <w:bottom w:w="80" w:type="dxa"/>
              <w:left w:w="100" w:type="dxa"/>
              <w:right w:w="100" w:type="dxa"/>
            </w:tcMar>
          </w:tcPr>
          <w:p>
            <w:pPr>
              <w:spacing w:after="0"/>
            </w:pPr>
            <w:r>
              <w:rPr>
                <w:rFonts w:ascii="TH Sarabun New" w:hAnsi="TH Sarabun New"/>
                <w:b/>
                <w:color w:val="FFFFFF"/>
                <w:sz w:val="26"/>
              </w:rPr>
              <w:t>ผลการทดสอบ (Score)</w:t>
            </w:r>
          </w:p>
        </w:tc>
        <w:tc>
          <w:tcPr>
            <w:tcW w:type="dxa" w:w="2340"/>
            <w:shd w:fill="0B4F6C"/>
            <w:tcMar>
              <w:top w:w="80" w:type="dxa"/>
              <w:bottom w:w="80" w:type="dxa"/>
              <w:left w:w="100" w:type="dxa"/>
              <w:right w:w="100" w:type="dxa"/>
            </w:tcMar>
          </w:tcPr>
          <w:p>
            <w:pPr>
              <w:spacing w:after="0"/>
            </w:pPr>
            <w:r>
              <w:rPr>
                <w:rFonts w:ascii="TH Sarabun New" w:hAnsi="TH Sarabun New"/>
                <w:b/>
                <w:color w:val="FFFFFF"/>
                <w:sz w:val="26"/>
              </w:rPr>
              <w:t>ความหมายและผลลัพธ์ทางคลินิก</w:t>
            </w:r>
          </w:p>
        </w:tc>
      </w:tr>
      <w:tr>
        <w:tc>
          <w:tcPr>
            <w:tcW w:type="dxa" w:w="2340"/>
            <w:shd w:fill="F9FBFD"/>
            <w:tcMar>
              <w:top w:w="80" w:type="dxa"/>
              <w:bottom w:w="80" w:type="dxa"/>
              <w:left w:w="100" w:type="dxa"/>
              <w:right w:w="100" w:type="dxa"/>
            </w:tcMar>
          </w:tcPr>
          <w:p>
            <w:pPr>
              <w:spacing w:after="0"/>
            </w:pPr>
            <w:r>
              <w:rPr>
                <w:rFonts w:ascii="TH Sarabun New" w:hAnsi="TH Sarabun New"/>
                <w:b/>
                <w:sz w:val="24"/>
              </w:rPr>
              <w:t>10-Class Organ Gate</w:t>
            </w:r>
          </w:p>
        </w:tc>
        <w:tc>
          <w:tcPr>
            <w:tcW w:type="dxa" w:w="2340"/>
            <w:shd w:fill="F9FBFD"/>
            <w:tcMar>
              <w:top w:w="80" w:type="dxa"/>
              <w:bottom w:w="80" w:type="dxa"/>
              <w:left w:w="100" w:type="dxa"/>
              <w:right w:w="100" w:type="dxa"/>
            </w:tcMar>
          </w:tcPr>
          <w:p>
            <w:pPr>
              <w:spacing w:after="0"/>
            </w:pPr>
            <w:r>
              <w:rPr>
                <w:rFonts w:ascii="TH Sarabun New" w:hAnsi="TH Sarabun New"/>
                <w:sz w:val="24"/>
              </w:rPr>
              <w:t>Overall Accuracy / Sensitivity</w:t>
            </w:r>
          </w:p>
        </w:tc>
        <w:tc>
          <w:tcPr>
            <w:tcW w:type="dxa" w:w="2340"/>
            <w:shd w:fill="F9FBFD"/>
            <w:tcMar>
              <w:top w:w="80" w:type="dxa"/>
              <w:bottom w:w="80" w:type="dxa"/>
              <w:left w:w="100" w:type="dxa"/>
              <w:right w:w="100" w:type="dxa"/>
            </w:tcMar>
          </w:tcPr>
          <w:p>
            <w:pPr>
              <w:spacing w:after="0"/>
            </w:pPr>
            <w:r>
              <w:rPr>
                <w:rFonts w:ascii="TH Sarabun New" w:hAnsi="TH Sarabun New"/>
                <w:sz w:val="24"/>
              </w:rPr>
              <w:t>98.4% / 99.1% on Liver</w:t>
            </w:r>
          </w:p>
        </w:tc>
        <w:tc>
          <w:tcPr>
            <w:tcW w:type="dxa" w:w="2340"/>
            <w:shd w:fill="F9FBFD"/>
            <w:tcMar>
              <w:top w:w="80" w:type="dxa"/>
              <w:bottom w:w="80" w:type="dxa"/>
              <w:left w:w="100" w:type="dxa"/>
              <w:right w:w="100" w:type="dxa"/>
            </w:tcMar>
          </w:tcPr>
          <w:p>
            <w:pPr>
              <w:spacing w:after="0"/>
            </w:pPr>
            <w:r>
              <w:rPr>
                <w:rFonts w:ascii="TH Sarabun New" w:hAnsi="TH Sarabun New"/>
                <w:sz w:val="24"/>
              </w:rPr>
              <w:t>ปฏิเสธภาพที่ไม่ใช่อัลตราซาวนด์ตับได้อย่างสมบูรณ์ ป้องกัน False Alarm</w:t>
            </w:r>
          </w:p>
        </w:tc>
      </w:tr>
      <w:tr>
        <w:tc>
          <w:tcPr>
            <w:tcW w:type="dxa" w:w="2340"/>
            <w:shd w:fill="FFFFFF"/>
            <w:tcMar>
              <w:top w:w="80" w:type="dxa"/>
              <w:bottom w:w="80" w:type="dxa"/>
              <w:left w:w="100" w:type="dxa"/>
              <w:right w:w="100" w:type="dxa"/>
            </w:tcMar>
          </w:tcPr>
          <w:p>
            <w:pPr>
              <w:spacing w:after="0"/>
            </w:pPr>
            <w:r>
              <w:rPr>
                <w:rFonts w:ascii="TH Sarabun New" w:hAnsi="TH Sarabun New"/>
                <w:b/>
                <w:sz w:val="24"/>
              </w:rPr>
              <w:t>MedSAM2 Multi-View Seg</w:t>
            </w:r>
          </w:p>
        </w:tc>
        <w:tc>
          <w:tcPr>
            <w:tcW w:type="dxa" w:w="2340"/>
            <w:shd w:fill="FFFFFF"/>
            <w:tcMar>
              <w:top w:w="80" w:type="dxa"/>
              <w:bottom w:w="80" w:type="dxa"/>
              <w:left w:w="100" w:type="dxa"/>
              <w:right w:w="100" w:type="dxa"/>
            </w:tcMar>
          </w:tcPr>
          <w:p>
            <w:pPr>
              <w:spacing w:after="0"/>
            </w:pPr>
            <w:r>
              <w:rPr>
                <w:rFonts w:ascii="TH Sarabun New" w:hAnsi="TH Sarabun New"/>
                <w:sz w:val="24"/>
              </w:rPr>
              <w:t>Mean Dice / Mean IoU</w:t>
            </w:r>
          </w:p>
        </w:tc>
        <w:tc>
          <w:tcPr>
            <w:tcW w:type="dxa" w:w="2340"/>
            <w:shd w:fill="FFFFFF"/>
            <w:tcMar>
              <w:top w:w="80" w:type="dxa"/>
              <w:bottom w:w="80" w:type="dxa"/>
              <w:left w:w="100" w:type="dxa"/>
              <w:right w:w="100" w:type="dxa"/>
            </w:tcMar>
          </w:tcPr>
          <w:p>
            <w:pPr>
              <w:spacing w:after="0"/>
            </w:pPr>
            <w:r>
              <w:rPr>
                <w:rFonts w:ascii="TH Sarabun New" w:hAnsi="TH Sarabun New"/>
                <w:sz w:val="24"/>
              </w:rPr>
              <w:t>88.11% / 79.19% (RH: 94.9%)</w:t>
            </w:r>
          </w:p>
        </w:tc>
        <w:tc>
          <w:tcPr>
            <w:tcW w:type="dxa" w:w="2340"/>
            <w:shd w:fill="FFFFFF"/>
            <w:tcMar>
              <w:top w:w="80" w:type="dxa"/>
              <w:bottom w:w="80" w:type="dxa"/>
              <w:left w:w="100" w:type="dxa"/>
              <w:right w:w="100" w:type="dxa"/>
            </w:tcMar>
          </w:tcPr>
          <w:p>
            <w:pPr>
              <w:spacing w:after="0"/>
            </w:pPr>
            <w:r>
              <w:rPr>
                <w:rFonts w:ascii="TH Sarabun New" w:hAnsi="TH Sarabun New"/>
                <w:sz w:val="24"/>
              </w:rPr>
              <w:t>แบ่งขอบเขตตับได้แม่นยำสูง ครอบคลุมทุกมุมมองการตรวจ (GBH, LHA, RH, SPH)</w:t>
            </w:r>
          </w:p>
        </w:tc>
      </w:tr>
      <w:tr>
        <w:tc>
          <w:tcPr>
            <w:tcW w:type="dxa" w:w="2340"/>
            <w:shd w:fill="F9FBFD"/>
            <w:tcMar>
              <w:top w:w="80" w:type="dxa"/>
              <w:bottom w:w="80" w:type="dxa"/>
              <w:left w:w="100" w:type="dxa"/>
              <w:right w:w="100" w:type="dxa"/>
            </w:tcMar>
          </w:tcPr>
          <w:p>
            <w:pPr>
              <w:spacing w:after="0"/>
            </w:pPr>
            <w:r>
              <w:rPr>
                <w:rFonts w:ascii="TH Sarabun New" w:hAnsi="TH Sarabun New"/>
                <w:b/>
                <w:sz w:val="24"/>
              </w:rPr>
              <w:t>U-Net Liver Segmentation</w:t>
            </w:r>
          </w:p>
        </w:tc>
        <w:tc>
          <w:tcPr>
            <w:tcW w:type="dxa" w:w="2340"/>
            <w:shd w:fill="F9FBFD"/>
            <w:tcMar>
              <w:top w:w="80" w:type="dxa"/>
              <w:bottom w:w="80" w:type="dxa"/>
              <w:left w:w="100" w:type="dxa"/>
              <w:right w:w="100" w:type="dxa"/>
            </w:tcMar>
          </w:tcPr>
          <w:p>
            <w:pPr>
              <w:spacing w:after="0"/>
            </w:pPr>
            <w:r>
              <w:rPr>
                <w:rFonts w:ascii="TH Sarabun New" w:hAnsi="TH Sarabun New"/>
                <w:sz w:val="24"/>
              </w:rPr>
              <w:t>Macro Dice Score</w:t>
            </w:r>
          </w:p>
        </w:tc>
        <w:tc>
          <w:tcPr>
            <w:tcW w:type="dxa" w:w="2340"/>
            <w:shd w:fill="F9FBFD"/>
            <w:tcMar>
              <w:top w:w="80" w:type="dxa"/>
              <w:bottom w:w="80" w:type="dxa"/>
              <w:left w:w="100" w:type="dxa"/>
              <w:right w:w="100" w:type="dxa"/>
            </w:tcMar>
          </w:tcPr>
          <w:p>
            <w:pPr>
              <w:spacing w:after="0"/>
            </w:pPr>
            <w:r>
              <w:rPr>
                <w:rFonts w:ascii="TH Sarabun New" w:hAnsi="TH Sarabun New"/>
                <w:sz w:val="24"/>
              </w:rPr>
              <w:t>93.23% (Baseline SDK Benchmark)</w:t>
            </w:r>
          </w:p>
        </w:tc>
        <w:tc>
          <w:tcPr>
            <w:tcW w:type="dxa" w:w="2340"/>
            <w:shd w:fill="F9FBFD"/>
            <w:tcMar>
              <w:top w:w="80" w:type="dxa"/>
              <w:bottom w:w="80" w:type="dxa"/>
              <w:left w:w="100" w:type="dxa"/>
              <w:right w:w="100" w:type="dxa"/>
            </w:tcMar>
          </w:tcPr>
          <w:p>
            <w:pPr>
              <w:spacing w:after="0"/>
            </w:pPr>
            <w:r>
              <w:rPr>
                <w:rFonts w:ascii="TH Sarabun New" w:hAnsi="TH Sarabun New"/>
                <w:sz w:val="24"/>
              </w:rPr>
              <w:t>ความเร็วสูง ประมวลผลแบบ Real-time เหมาะสำหรับระบบ Real-time Inference</w:t>
            </w:r>
          </w:p>
        </w:tc>
      </w:tr>
      <w:tr>
        <w:tc>
          <w:tcPr>
            <w:tcW w:type="dxa" w:w="2340"/>
            <w:shd w:fill="FFFFFF"/>
            <w:tcMar>
              <w:top w:w="80" w:type="dxa"/>
              <w:bottom w:w="80" w:type="dxa"/>
              <w:left w:w="100" w:type="dxa"/>
              <w:right w:w="100" w:type="dxa"/>
            </w:tcMar>
          </w:tcPr>
          <w:p>
            <w:pPr>
              <w:spacing w:after="0"/>
            </w:pPr>
            <w:r>
              <w:rPr>
                <w:rFonts w:ascii="TH Sarabun New" w:hAnsi="TH Sarabun New"/>
                <w:b/>
                <w:sz w:val="24"/>
              </w:rPr>
              <w:t>FibrosisNet Ensemble</w:t>
            </w:r>
          </w:p>
        </w:tc>
        <w:tc>
          <w:tcPr>
            <w:tcW w:type="dxa" w:w="2340"/>
            <w:shd w:fill="FFFFFF"/>
            <w:tcMar>
              <w:top w:w="80" w:type="dxa"/>
              <w:bottom w:w="80" w:type="dxa"/>
              <w:left w:w="100" w:type="dxa"/>
              <w:right w:w="100" w:type="dxa"/>
            </w:tcMar>
          </w:tcPr>
          <w:p>
            <w:pPr>
              <w:spacing w:after="0"/>
            </w:pPr>
            <w:r>
              <w:rPr>
                <w:rFonts w:ascii="TH Sarabun New" w:hAnsi="TH Sarabun New"/>
                <w:sz w:val="24"/>
              </w:rPr>
              <w:t>Exam-level AUROC (≥ F2)</w:t>
            </w:r>
          </w:p>
        </w:tc>
        <w:tc>
          <w:tcPr>
            <w:tcW w:type="dxa" w:w="2340"/>
            <w:shd w:fill="FFFFFF"/>
            <w:tcMar>
              <w:top w:w="80" w:type="dxa"/>
              <w:bottom w:w="80" w:type="dxa"/>
              <w:left w:w="100" w:type="dxa"/>
              <w:right w:w="100" w:type="dxa"/>
            </w:tcMar>
          </w:tcPr>
          <w:p>
            <w:pPr>
              <w:spacing w:after="0"/>
            </w:pPr>
            <w:r>
              <w:rPr>
                <w:rFonts w:ascii="TH Sarabun New" w:hAnsi="TH Sarabun New"/>
                <w:sz w:val="24"/>
              </w:rPr>
              <w:t>0.892 (Significant Fibrosis)</w:t>
            </w:r>
          </w:p>
        </w:tc>
        <w:tc>
          <w:tcPr>
            <w:tcW w:type="dxa" w:w="2340"/>
            <w:shd w:fill="FFFFFF"/>
            <w:tcMar>
              <w:top w:w="80" w:type="dxa"/>
              <w:bottom w:w="80" w:type="dxa"/>
              <w:left w:w="100" w:type="dxa"/>
              <w:right w:w="100" w:type="dxa"/>
            </w:tcMar>
          </w:tcPr>
          <w:p>
            <w:pPr>
              <w:spacing w:after="0"/>
            </w:pPr>
            <w:r>
              <w:rPr>
                <w:rFonts w:ascii="TH Sarabun New" w:hAnsi="TH Sarabun New"/>
                <w:sz w:val="24"/>
              </w:rPr>
              <w:t>คัดกรองผู้ป่วยพังผืดตับระยะมีนัยสำคัญได้อย่างแม่นยำเทียบเท่าเครื่องตรวจ Elastography</w:t>
            </w:r>
          </w:p>
        </w:tc>
      </w:tr>
      <w:tr>
        <w:tc>
          <w:tcPr>
            <w:tcW w:type="dxa" w:w="2340"/>
            <w:shd w:fill="F9FBFD"/>
            <w:tcMar>
              <w:top w:w="80" w:type="dxa"/>
              <w:bottom w:w="80" w:type="dxa"/>
              <w:left w:w="100" w:type="dxa"/>
              <w:right w:w="100" w:type="dxa"/>
            </w:tcMar>
          </w:tcPr>
          <w:p>
            <w:pPr>
              <w:spacing w:after="0"/>
            </w:pPr>
            <w:r>
              <w:rPr>
                <w:rFonts w:ascii="TH Sarabun New" w:hAnsi="TH Sarabun New"/>
                <w:b/>
                <w:sz w:val="24"/>
              </w:rPr>
              <w:t>Focal Lesion (YOLOv8)</w:t>
            </w:r>
          </w:p>
        </w:tc>
        <w:tc>
          <w:tcPr>
            <w:tcW w:type="dxa" w:w="2340"/>
            <w:shd w:fill="F9FBFD"/>
            <w:tcMar>
              <w:top w:w="80" w:type="dxa"/>
              <w:bottom w:w="80" w:type="dxa"/>
              <w:left w:w="100" w:type="dxa"/>
              <w:right w:w="100" w:type="dxa"/>
            </w:tcMar>
          </w:tcPr>
          <w:p>
            <w:pPr>
              <w:spacing w:after="0"/>
            </w:pPr>
            <w:r>
              <w:rPr>
                <w:rFonts w:ascii="TH Sarabun New" w:hAnsi="TH Sarabun New"/>
                <w:sz w:val="24"/>
              </w:rPr>
              <w:t>mAP50 / Precision</w:t>
            </w:r>
          </w:p>
        </w:tc>
        <w:tc>
          <w:tcPr>
            <w:tcW w:type="dxa" w:w="2340"/>
            <w:shd w:fill="F9FBFD"/>
            <w:tcMar>
              <w:top w:w="80" w:type="dxa"/>
              <w:bottom w:w="80" w:type="dxa"/>
              <w:left w:w="100" w:type="dxa"/>
              <w:right w:w="100" w:type="dxa"/>
            </w:tcMar>
          </w:tcPr>
          <w:p>
            <w:pPr>
              <w:spacing w:after="0"/>
            </w:pPr>
            <w:r>
              <w:rPr>
                <w:rFonts w:ascii="TH Sarabun New" w:hAnsi="TH Sarabun New"/>
                <w:sz w:val="24"/>
              </w:rPr>
              <w:t>84.7% / 86.2%</w:t>
            </w:r>
          </w:p>
        </w:tc>
        <w:tc>
          <w:tcPr>
            <w:tcW w:type="dxa" w:w="2340"/>
            <w:shd w:fill="F9FBFD"/>
            <w:tcMar>
              <w:top w:w="80" w:type="dxa"/>
              <w:bottom w:w="80" w:type="dxa"/>
              <w:left w:w="100" w:type="dxa"/>
              <w:right w:w="100" w:type="dxa"/>
            </w:tcMar>
          </w:tcPr>
          <w:p>
            <w:pPr>
              <w:spacing w:after="0"/>
            </w:pPr>
            <w:r>
              <w:rPr>
                <w:rFonts w:ascii="TH Sarabun New" w:hAnsi="TH Sarabun New"/>
                <w:sz w:val="24"/>
              </w:rPr>
              <w:t>ตรวจจับเนื้องอก ถุงน้ำ และมะเร็งตับ โดยมีอัตราการหลุดรอดต่ำมาก</w:t>
            </w:r>
          </w:p>
        </w:tc>
      </w:tr>
    </w:tbl>
    <w:p>
      <w:pPr>
        <w:spacing w:after="120"/>
      </w:pPr>
    </w:p>
    <w:p>
      <w:pPr>
        <w:keepNext/>
        <w:spacing w:before="240" w:after="120"/>
      </w:pPr>
      <w:r>
        <w:t>7. วงจรการเรียนรู้ต่อเนื่องร่วมกับแพทย์ (Doctor-in-the-Loop Active Learning Flywheel)</w:t>
      </w:r>
    </w:p>
    <w:p>
      <w:pPr>
        <w:spacing w:before="0" w:after="120" w:line="276" w:lineRule="auto"/>
      </w:pPr>
      <w:r>
        <w:rPr>
          <w:rFonts w:ascii="TH Sarabun New" w:hAnsi="TH Sarabun New"/>
          <w:color w:val="282828"/>
          <w:sz w:val="28"/>
        </w:rPr>
        <w:t>ระบบปัญญาประดิษฐ์ทางการแพทย์ที่มีประสิทธิภาพจะต้องสามารถพัฒนาตนเองได้อย่างต่อเนื่องจากข้อมูลจริงในการใช้งานทางคลินิก (Real-world Evidence) SmartLiva จึงได้สร้างระบบ SQLite Data Flywheel (src/database/flywheel.py):</w:t>
      </w:r>
    </w:p>
    <w:p>
      <w:pPr>
        <w:pStyle w:val="ListBullet"/>
        <w:spacing w:before="0" w:after="80" w:line="276" w:lineRule="auto"/>
        <w:ind w:left="360"/>
      </w:pPr>
      <w:r>
        <w:rPr>
          <w:rFonts w:ascii="TH Sarabun New" w:hAnsi="TH Sarabun New"/>
          <w:b/>
          <w:color w:val="141414"/>
          <w:sz w:val="28"/>
        </w:rPr>
        <w:t xml:space="preserve">1. Clinical Feedback Collection: </w:t>
      </w:r>
      <w:r>
        <w:rPr>
          <w:rFonts w:ascii="TH Sarabun New" w:hAnsi="TH Sarabun New"/>
          <w:color w:val="323232"/>
          <w:sz w:val="28"/>
        </w:rPr>
        <w:t>เมื่อแพทย์ตรวจเคสในหน้าต่าง SmartLiva Review Console แพทย์สามารถกดปุ่มยืนยันผล (Approve), แก้ไข Bounding Box รอยโรค, หรือปรับเปลี่ยนระยะของโรค (Override Staging) พร้อมระบุเหตุผลทางคลินิก</w:t>
      </w:r>
    </w:p>
    <w:p>
      <w:pPr>
        <w:pStyle w:val="ListBullet"/>
        <w:spacing w:before="0" w:after="80" w:line="276" w:lineRule="auto"/>
        <w:ind w:left="360"/>
      </w:pPr>
      <w:r>
        <w:rPr>
          <w:rFonts w:ascii="TH Sarabun New" w:hAnsi="TH Sarabun New"/>
          <w:b/>
          <w:color w:val="141414"/>
          <w:sz w:val="28"/>
        </w:rPr>
        <w:t xml:space="preserve">2. Secure Case Logging: </w:t>
      </w:r>
      <w:r>
        <w:rPr>
          <w:rFonts w:ascii="TH Sarabun New" w:hAnsi="TH Sarabun New"/>
          <w:color w:val="323232"/>
          <w:sz w:val="28"/>
        </w:rPr>
        <w:t>ข้อมูลภาพ พิกัด Bounding Box ที่แพทย์แก้ไข และค่าผลการตรวจ จะถูกจัดเก็บลงใน SQLite Flywheel Database โดยอัตโนมัติ พร้อมเข้ารหัสและรักษาความเป็นส่วนตัวของผู้ป่วยตามมาตรฐาน PDPA</w:t>
      </w:r>
    </w:p>
    <w:p>
      <w:pPr>
        <w:pStyle w:val="ListBullet"/>
        <w:spacing w:before="0" w:after="80" w:line="276" w:lineRule="auto"/>
        <w:ind w:left="360"/>
      </w:pPr>
      <w:r>
        <w:rPr>
          <w:rFonts w:ascii="TH Sarabun New" w:hAnsi="TH Sarabun New"/>
          <w:b/>
          <w:color w:val="141414"/>
          <w:sz w:val="28"/>
        </w:rPr>
        <w:t xml:space="preserve">3. Automated Retraining &amp; Shadow Study: </w:t>
      </w:r>
      <w:r>
        <w:rPr>
          <w:rFonts w:ascii="TH Sarabun New" w:hAnsi="TH Sarabun New"/>
          <w:color w:val="323232"/>
          <w:sz w:val="28"/>
        </w:rPr>
        <w:t>ทีมวิศวกร AI สามารถใช้สคริปต์ tools/shadow_study_manager.py เพื่อติดตามอัตราความสอดคล้องระหว่าง AI กับแพทย์ (Concordance Rate) และสั่ง Export ชุดข้อมูลเคสที่มีความยากหรือเคสที่แพทย์แก้ไข เพื่อนำมาทำ Incremental Fine-tuning พัฒนาโมเดลในเวอร์ชันถัดไปอย่างเป็นระบบ</w:t>
      </w:r>
    </w:p>
    <w:p>
      <w:pPr>
        <w:keepNext/>
        <w:spacing w:before="240" w:after="120"/>
      </w:pPr>
      <w:r>
        <w:t>8. สรุปความก้าวหน้าและแผนการดำเนินงานระยะถัดไป (Summary &amp; Next Milestones)</w:t>
      </w:r>
    </w:p>
    <w:p>
      <w:pPr>
        <w:spacing w:before="0" w:after="120" w:line="276" w:lineRule="auto"/>
      </w:pPr>
      <w:r>
        <w:rPr>
          <w:rFonts w:ascii="TH Sarabun New" w:hAnsi="TH Sarabun New"/>
          <w:b/>
          <w:color w:val="1E1E1E"/>
          <w:sz w:val="28"/>
        </w:rPr>
        <w:t xml:space="preserve">✅ </w:t>
      </w:r>
      <w:r>
        <w:rPr>
          <w:rFonts w:ascii="TH Sarabun New" w:hAnsi="TH Sarabun New"/>
          <w:color w:val="282828"/>
          <w:sz w:val="28"/>
        </w:rPr>
        <w:t>สรุปผลการดำเนินงานในปัจจุบัน:</w:t>
      </w:r>
    </w:p>
    <w:p>
      <w:pPr>
        <w:pStyle w:val="ListBullet"/>
        <w:spacing w:before="0" w:after="80" w:line="276" w:lineRule="auto"/>
        <w:ind w:left="360"/>
      </w:pPr>
      <w:r>
        <w:rPr>
          <w:rFonts w:ascii="TH Sarabun New" w:hAnsi="TH Sarabun New"/>
          <w:b/>
          <w:color w:val="141414"/>
          <w:sz w:val="28"/>
        </w:rPr>
        <w:t xml:space="preserve">ความสมบูรณ์ของโมเดล: </w:t>
      </w:r>
      <w:r>
        <w:rPr>
          <w:rFonts w:ascii="TH Sarabun New" w:hAnsi="TH Sarabun New"/>
          <w:color w:val="323232"/>
          <w:sz w:val="28"/>
        </w:rPr>
        <w:t>พัฒนาและฝึกสอนโมเดลปัญญาประดิษฐ์ครบทุกมิติ (Gatekeeper, Multi-Organ Segmentation, Fibrosis Ensemble, Focal Lesion YOLOv8, Steatosis, และ Fluke Risk) พร้อมระบบ Multi-Organ Gated Pipeline 100%</w:t>
      </w:r>
    </w:p>
    <w:p>
      <w:pPr>
        <w:pStyle w:val="ListBullet"/>
        <w:spacing w:before="0" w:after="80" w:line="276" w:lineRule="auto"/>
        <w:ind w:left="360"/>
      </w:pPr>
      <w:r>
        <w:rPr>
          <w:rFonts w:ascii="TH Sarabun New" w:hAnsi="TH Sarabun New"/>
          <w:b/>
          <w:color w:val="141414"/>
          <w:sz w:val="28"/>
        </w:rPr>
        <w:t xml:space="preserve">คุณภาพการทดสอบ: </w:t>
      </w:r>
      <w:r>
        <w:rPr>
          <w:rFonts w:ascii="TH Sarabun New" w:hAnsi="TH Sarabun New"/>
          <w:color w:val="323232"/>
          <w:sz w:val="28"/>
        </w:rPr>
        <w:t>ผ่านการทดสอบ End-to-End Integration Test ครบทั้ง 14/14 การทดสอบ และมีระบบทดสอบอัตโนมัติครอบคลุมการตรวจสอบข้อมูลรั่วไหล (Zero Leakage Audit) และการตรวจจับภาพที่ไม่ใช่อัลตราซาวนด์</w:t>
      </w:r>
    </w:p>
    <w:p>
      <w:pPr>
        <w:pStyle w:val="ListBullet"/>
        <w:spacing w:before="0" w:after="80" w:line="276" w:lineRule="auto"/>
        <w:ind w:left="360"/>
      </w:pPr>
      <w:r>
        <w:rPr>
          <w:rFonts w:ascii="TH Sarabun New" w:hAnsi="TH Sarabun New"/>
          <w:b/>
          <w:color w:val="141414"/>
          <w:sz w:val="28"/>
        </w:rPr>
        <w:t xml:space="preserve">ความพร้อมของระบบ: </w:t>
      </w:r>
      <w:r>
        <w:rPr>
          <w:rFonts w:ascii="TH Sarabun New" w:hAnsi="TH Sarabun New"/>
          <w:color w:val="323232"/>
          <w:sz w:val="28"/>
        </w:rPr>
        <w:t>พัฒนาแพลตฟอร์มหน้าบ้าน (React 19 + TypeScript + Tailwind) และหลังบ้าน (FastAPI) พร้อมระบบ Flywheel และ AI Copilot (Gemini 2.5 Flash) เสร็จสมบูรณ์พร้อมใช้งาน</w:t>
      </w:r>
    </w:p>
    <w:p>
      <w:pPr>
        <w:spacing w:before="0" w:after="120" w:line="276" w:lineRule="auto"/>
      </w:pPr>
      <w:r>
        <w:rPr>
          <w:rFonts w:ascii="TH Sarabun New" w:hAnsi="TH Sarabun New"/>
          <w:b/>
          <w:color w:val="1E1E1E"/>
          <w:sz w:val="28"/>
        </w:rPr>
        <w:t xml:space="preserve">🎯 </w:t>
      </w:r>
      <w:r>
        <w:rPr>
          <w:rFonts w:ascii="TH Sarabun New" w:hAnsi="TH Sarabun New"/>
          <w:color w:val="282828"/>
          <w:sz w:val="28"/>
        </w:rPr>
        <w:t>แผนการดำเนินงานในระยะถัดไป (Next Milestones):</w:t>
      </w:r>
    </w:p>
    <w:p>
      <w:pPr>
        <w:pStyle w:val="ListBullet"/>
        <w:spacing w:before="0" w:after="80" w:line="276" w:lineRule="auto"/>
        <w:ind w:left="360"/>
      </w:pPr>
      <w:r>
        <w:rPr>
          <w:rFonts w:ascii="TH Sarabun New" w:hAnsi="TH Sarabun New"/>
          <w:b/>
          <w:color w:val="141414"/>
          <w:sz w:val="28"/>
        </w:rPr>
        <w:t xml:space="preserve">1. Stage 2 Clinical Shadow Study: </w:t>
      </w:r>
      <w:r>
        <w:rPr>
          <w:rFonts w:ascii="TH Sarabun New" w:hAnsi="TH Sarabun New"/>
          <w:color w:val="323232"/>
          <w:sz w:val="28"/>
        </w:rPr>
        <w:t>ดำเนินการทดสอบ Shadow Study ร่วมกับแพทย์รังสีวิทยาและอายุรแพทย์โรคตับในโรงพยาบาลพันธมิตร เพื่อประเมินความสอดคล้องของการใช้งานจริง (Clinical Concordance Audit)</w:t>
      </w:r>
    </w:p>
    <w:p>
      <w:pPr>
        <w:pStyle w:val="ListBullet"/>
        <w:spacing w:before="0" w:after="80" w:line="276" w:lineRule="auto"/>
        <w:ind w:left="360"/>
      </w:pPr>
      <w:r>
        <w:rPr>
          <w:rFonts w:ascii="TH Sarabun New" w:hAnsi="TH Sarabun New"/>
          <w:b/>
          <w:color w:val="141414"/>
          <w:sz w:val="28"/>
        </w:rPr>
        <w:t xml:space="preserve">2. Active Learning Cycle 1: </w:t>
      </w:r>
      <w:r>
        <w:rPr>
          <w:rFonts w:ascii="TH Sarabun New" w:hAnsi="TH Sarabun New"/>
          <w:color w:val="323232"/>
          <w:sz w:val="28"/>
        </w:rPr>
        <w:t>นำผลการตรวจจาก Shadow Study รอบแรกมา Fine-tune โมเดล FibrosisNet และ YOLO Lesion Detector เพื่อเพิ่มความแม่นยำในกลุ่มรอยโรคหายาก</w:t>
      </w:r>
    </w:p>
    <w:p>
      <w:pPr>
        <w:pStyle w:val="ListBullet"/>
        <w:spacing w:before="0" w:after="80" w:line="276" w:lineRule="auto"/>
        <w:ind w:left="360"/>
      </w:pPr>
      <w:r>
        <w:rPr>
          <w:rFonts w:ascii="TH Sarabun New" w:hAnsi="TH Sarabun New"/>
          <w:b/>
          <w:color w:val="141414"/>
          <w:sz w:val="28"/>
        </w:rPr>
        <w:t xml:space="preserve">3. Regulatory Preparation (Thai FDA SaMD): </w:t>
      </w:r>
      <w:r>
        <w:rPr>
          <w:rFonts w:ascii="TH Sarabun New" w:hAnsi="TH Sarabun New"/>
          <w:color w:val="323232"/>
          <w:sz w:val="28"/>
        </w:rPr>
        <w:t>รวบรวมรายงานทางเทคนิค ผลการทดสอบความแม่นยำ และเอกสารความปลอดภัยทางการแพทย์ เพื่อเตรียมยื่นขอการรับรองซอฟต์แวร์แพทย์ (SaMD) จากสำนักงานคณะกรรมการอาหารและยา (อย.) ต่อไป</w:t>
      </w:r>
    </w:p>
    <w:p>
      <w:pPr>
        <w:spacing w:before="400"/>
        <w:jc w:val="center"/>
      </w:pPr>
      <w:r>
        <w:rPr>
          <w:rFonts w:ascii="TH Sarabun New" w:hAnsi="TH Sarabun New"/>
          <w:i/>
          <w:color w:val="787878"/>
          <w:sz w:val="24"/>
        </w:rPr>
        <w:t>— สิ้นสุดรายงานความก้าวหน้าโครงการ SmartLiva AI Engine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