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98F0" w14:textId="77777777" w:rsidR="00A865E8" w:rsidRPr="00A075B4" w:rsidRDefault="00000000">
      <w:pPr>
        <w:jc w:val="right"/>
        <w:rPr>
          <w:rFonts w:ascii="TH SarabunPSK" w:hAnsi="TH SarabunPSK" w:cs="TH SarabunPSK" w:hint="cs"/>
          <w:b/>
          <w:bCs/>
          <w:color w:val="000000" w:themeColor="text1"/>
        </w:rPr>
      </w:pPr>
      <w:r w:rsidRPr="00A075B4">
        <w:rPr>
          <w:rFonts w:ascii="TH SarabunPSK" w:hAnsi="TH SarabunPSK" w:cs="TH SarabunPSK" w:hint="cs"/>
          <w:b/>
          <w:bCs/>
          <w:color w:val="000000" w:themeColor="text1"/>
        </w:rPr>
        <w:t>รายงานความก้าวหน้าโครงการวิจัยและพัฒนาปัญญาประดิษฐ์ทางการแพทย์ | SmartLiva AI</w:t>
      </w:r>
    </w:p>
    <w:p w14:paraId="402D2863" w14:textId="77777777" w:rsidR="00A865E8" w:rsidRPr="00A075B4" w:rsidRDefault="00000000">
      <w:pPr>
        <w:spacing w:after="240"/>
        <w:rPr>
          <w:rFonts w:ascii="TH SarabunPSK" w:hAnsi="TH SarabunPSK" w:cs="TH SarabunPSK" w:hint="cs"/>
          <w:b/>
          <w:bCs/>
          <w:color w:val="000000" w:themeColor="text1"/>
        </w:rPr>
      </w:pPr>
      <w:proofErr w:type="spellStart"/>
      <w:r w:rsidRPr="00A075B4">
        <w:rPr>
          <w:rFonts w:ascii="TH SarabunPSK" w:hAnsi="TH SarabunPSK" w:cs="TH SarabunPSK" w:hint="cs"/>
          <w:b/>
          <w:bCs/>
          <w:color w:val="000000" w:themeColor="text1"/>
        </w:rPr>
        <w:t>เอกสารประกอบรายงานความก้าวหน้าโครงการ</w:t>
      </w:r>
      <w:proofErr w:type="spellEnd"/>
      <w:r w:rsidRPr="00A075B4">
        <w:rPr>
          <w:rFonts w:ascii="TH SarabunPSK" w:hAnsi="TH SarabunPSK" w:cs="TH SarabunPSK" w:hint="cs"/>
          <w:b/>
          <w:bCs/>
          <w:color w:val="000000" w:themeColor="text1"/>
        </w:rPr>
        <w:t xml:space="preserve"> </w:t>
      </w:r>
      <w:proofErr w:type="spellStart"/>
      <w:r w:rsidRPr="00A075B4">
        <w:rPr>
          <w:rFonts w:ascii="TH SarabunPSK" w:hAnsi="TH SarabunPSK" w:cs="TH SarabunPSK" w:hint="cs"/>
          <w:b/>
          <w:bCs/>
          <w:color w:val="000000" w:themeColor="text1"/>
        </w:rPr>
        <w:t>SmartLiva</w:t>
      </w:r>
      <w:proofErr w:type="spellEnd"/>
      <w:r w:rsidRPr="00A075B4">
        <w:rPr>
          <w:rFonts w:ascii="TH SarabunPSK" w:hAnsi="TH SarabunPSK" w:cs="TH SarabunPSK" w:hint="cs"/>
          <w:b/>
          <w:bCs/>
          <w:color w:val="000000" w:themeColor="text1"/>
        </w:rPr>
        <w:t xml:space="preserve"> (Liver Ultrasound Clinical Screening AI &amp; Multi-Organ Copilot)</w:t>
      </w:r>
    </w:p>
    <w:tbl>
      <w:tblPr>
        <w:tblW w:w="0" w:type="auto"/>
        <w:jc w:val="center"/>
        <w:tblBorders>
          <w:top w:val="single" w:sz="4" w:space="0" w:color="D0D7DE"/>
          <w:bottom w:val="single" w:sz="4" w:space="0" w:color="D0D7DE"/>
          <w:insideH w:val="single" w:sz="4" w:space="0" w:color="D0D7DE"/>
        </w:tblBorders>
        <w:tblLook w:val="04A0" w:firstRow="1" w:lastRow="0" w:firstColumn="1" w:lastColumn="0" w:noHBand="0" w:noVBand="1"/>
      </w:tblPr>
      <w:tblGrid>
        <w:gridCol w:w="3168"/>
        <w:gridCol w:w="6192"/>
      </w:tblGrid>
      <w:tr w:rsidR="00A075B4" w:rsidRPr="00A075B4" w14:paraId="2458D7A8" w14:textId="77777777">
        <w:trPr>
          <w:jc w:val="center"/>
        </w:trPr>
        <w:tc>
          <w:tcPr>
            <w:tcW w:w="3168" w:type="dxa"/>
            <w:shd w:val="clear" w:color="auto" w:fill="F2F5F8"/>
            <w:tcMar>
              <w:top w:w="80" w:type="dxa"/>
              <w:left w:w="100" w:type="dxa"/>
              <w:bottom w:w="80" w:type="dxa"/>
              <w:right w:w="100" w:type="dxa"/>
            </w:tcMar>
          </w:tcPr>
          <w:p w14:paraId="1F7342BF" w14:textId="77777777" w:rsidR="00A865E8" w:rsidRPr="00A075B4" w:rsidRDefault="00000000">
            <w:pPr>
              <w:spacing w:after="0"/>
              <w:rPr>
                <w:rFonts w:ascii="TH SarabunPSK" w:hAnsi="TH SarabunPSK" w:cs="TH SarabunPSK" w:hint="cs"/>
                <w:color w:val="000000" w:themeColor="text1"/>
              </w:rPr>
            </w:pPr>
            <w:r w:rsidRPr="00A075B4">
              <w:rPr>
                <w:rFonts w:ascii="TH SarabunPSK" w:hAnsi="TH SarabunPSK" w:cs="TH SarabunPSK" w:hint="cs"/>
                <w:color w:val="000000" w:themeColor="text1"/>
              </w:rPr>
              <w:t>ระบบและแพลตฟอร์ม:</w:t>
            </w:r>
          </w:p>
        </w:tc>
        <w:tc>
          <w:tcPr>
            <w:tcW w:w="6192" w:type="dxa"/>
            <w:shd w:val="clear" w:color="auto" w:fill="FFFFFF"/>
            <w:tcMar>
              <w:top w:w="80" w:type="dxa"/>
              <w:left w:w="100" w:type="dxa"/>
              <w:bottom w:w="80" w:type="dxa"/>
              <w:right w:w="100" w:type="dxa"/>
            </w:tcMar>
          </w:tcPr>
          <w:p w14:paraId="23D458A1" w14:textId="77777777" w:rsidR="00A865E8" w:rsidRPr="00A075B4" w:rsidRDefault="00000000">
            <w:pPr>
              <w:spacing w:after="0"/>
              <w:rPr>
                <w:rFonts w:ascii="TH SarabunPSK" w:hAnsi="TH SarabunPSK" w:cs="TH SarabunPSK" w:hint="cs"/>
                <w:color w:val="000000" w:themeColor="text1"/>
              </w:rPr>
            </w:pPr>
            <w:r w:rsidRPr="00A075B4">
              <w:rPr>
                <w:rFonts w:ascii="TH SarabunPSK" w:hAnsi="TH SarabunPSK" w:cs="TH SarabunPSK" w:hint="cs"/>
                <w:color w:val="000000" w:themeColor="text1"/>
              </w:rPr>
              <w:t>SmartLiva Clinical AI Engine (v1.1 Multi-Organ Gated Architecture)</w:t>
            </w:r>
          </w:p>
        </w:tc>
      </w:tr>
      <w:tr w:rsidR="00A075B4" w:rsidRPr="00A075B4" w14:paraId="1E580F22" w14:textId="77777777">
        <w:trPr>
          <w:jc w:val="center"/>
        </w:trPr>
        <w:tc>
          <w:tcPr>
            <w:tcW w:w="3168" w:type="dxa"/>
            <w:shd w:val="clear" w:color="auto" w:fill="F2F5F8"/>
            <w:tcMar>
              <w:top w:w="80" w:type="dxa"/>
              <w:left w:w="100" w:type="dxa"/>
              <w:bottom w:w="80" w:type="dxa"/>
              <w:right w:w="100" w:type="dxa"/>
            </w:tcMar>
          </w:tcPr>
          <w:p w14:paraId="7F560039" w14:textId="77777777" w:rsidR="00A865E8" w:rsidRPr="00A075B4" w:rsidRDefault="00000000">
            <w:pPr>
              <w:spacing w:after="0"/>
              <w:rPr>
                <w:rFonts w:ascii="TH SarabunPSK" w:hAnsi="TH SarabunPSK" w:cs="TH SarabunPSK" w:hint="cs"/>
                <w:color w:val="000000" w:themeColor="text1"/>
              </w:rPr>
            </w:pPr>
            <w:proofErr w:type="spellStart"/>
            <w:r w:rsidRPr="00A075B4">
              <w:rPr>
                <w:rFonts w:ascii="TH SarabunPSK" w:hAnsi="TH SarabunPSK" w:cs="TH SarabunPSK" w:hint="cs"/>
                <w:color w:val="000000" w:themeColor="text1"/>
              </w:rPr>
              <w:t>ประเภทข้อมูลที่ใช้ฝึกสอน</w:t>
            </w:r>
            <w:proofErr w:type="spellEnd"/>
            <w:r w:rsidRPr="00A075B4">
              <w:rPr>
                <w:rFonts w:ascii="TH SarabunPSK" w:hAnsi="TH SarabunPSK" w:cs="TH SarabunPSK" w:hint="cs"/>
                <w:color w:val="000000" w:themeColor="text1"/>
              </w:rPr>
              <w:t>:</w:t>
            </w:r>
          </w:p>
        </w:tc>
        <w:tc>
          <w:tcPr>
            <w:tcW w:w="6192" w:type="dxa"/>
            <w:shd w:val="clear" w:color="auto" w:fill="FFFFFF"/>
            <w:tcMar>
              <w:top w:w="80" w:type="dxa"/>
              <w:left w:w="100" w:type="dxa"/>
              <w:bottom w:w="80" w:type="dxa"/>
              <w:right w:w="100" w:type="dxa"/>
            </w:tcMar>
          </w:tcPr>
          <w:p w14:paraId="215393C1" w14:textId="77777777" w:rsidR="00A865E8" w:rsidRPr="00A075B4" w:rsidRDefault="00000000">
            <w:pPr>
              <w:spacing w:after="0"/>
              <w:rPr>
                <w:rFonts w:ascii="TH SarabunPSK" w:hAnsi="TH SarabunPSK" w:cs="TH SarabunPSK" w:hint="cs"/>
                <w:color w:val="000000" w:themeColor="text1"/>
              </w:rPr>
            </w:pPr>
            <w:r w:rsidRPr="00A075B4">
              <w:rPr>
                <w:rFonts w:ascii="TH SarabunPSK" w:hAnsi="TH SarabunPSK" w:cs="TH SarabunPSK" w:hint="cs"/>
                <w:color w:val="000000" w:themeColor="text1"/>
              </w:rPr>
              <w:t>B-mode Ultrasound, Shear Wave Elastography (SWE), Clinical Patient Metadata</w:t>
            </w:r>
          </w:p>
        </w:tc>
      </w:tr>
      <w:tr w:rsidR="00A075B4" w:rsidRPr="00A075B4" w14:paraId="2D7C0BAB" w14:textId="77777777">
        <w:trPr>
          <w:jc w:val="center"/>
        </w:trPr>
        <w:tc>
          <w:tcPr>
            <w:tcW w:w="3168" w:type="dxa"/>
            <w:shd w:val="clear" w:color="auto" w:fill="F2F5F8"/>
            <w:tcMar>
              <w:top w:w="80" w:type="dxa"/>
              <w:left w:w="100" w:type="dxa"/>
              <w:bottom w:w="80" w:type="dxa"/>
              <w:right w:w="100" w:type="dxa"/>
            </w:tcMar>
          </w:tcPr>
          <w:p w14:paraId="334951C9" w14:textId="77777777" w:rsidR="00A865E8" w:rsidRPr="00A075B4" w:rsidRDefault="00000000">
            <w:pPr>
              <w:spacing w:after="0"/>
              <w:rPr>
                <w:rFonts w:ascii="TH SarabunPSK" w:hAnsi="TH SarabunPSK" w:cs="TH SarabunPSK" w:hint="cs"/>
                <w:color w:val="000000" w:themeColor="text1"/>
              </w:rPr>
            </w:pPr>
            <w:proofErr w:type="spellStart"/>
            <w:r w:rsidRPr="00A075B4">
              <w:rPr>
                <w:rFonts w:ascii="TH SarabunPSK" w:hAnsi="TH SarabunPSK" w:cs="TH SarabunPSK" w:hint="cs"/>
                <w:color w:val="000000" w:themeColor="text1"/>
              </w:rPr>
              <w:t>กลุ่มเป้าหมายการประเมิน</w:t>
            </w:r>
            <w:proofErr w:type="spellEnd"/>
            <w:r w:rsidRPr="00A075B4">
              <w:rPr>
                <w:rFonts w:ascii="TH SarabunPSK" w:hAnsi="TH SarabunPSK" w:cs="TH SarabunPSK" w:hint="cs"/>
                <w:color w:val="000000" w:themeColor="text1"/>
              </w:rPr>
              <w:t>:</w:t>
            </w:r>
          </w:p>
        </w:tc>
        <w:tc>
          <w:tcPr>
            <w:tcW w:w="6192" w:type="dxa"/>
            <w:shd w:val="clear" w:color="auto" w:fill="FFFFFF"/>
            <w:tcMar>
              <w:top w:w="80" w:type="dxa"/>
              <w:left w:w="100" w:type="dxa"/>
              <w:bottom w:w="80" w:type="dxa"/>
              <w:right w:w="100" w:type="dxa"/>
            </w:tcMar>
          </w:tcPr>
          <w:p w14:paraId="1ED35BF8" w14:textId="77777777" w:rsidR="00A865E8" w:rsidRPr="00A075B4" w:rsidRDefault="00000000">
            <w:pPr>
              <w:spacing w:after="0"/>
              <w:rPr>
                <w:rFonts w:ascii="TH SarabunPSK" w:hAnsi="TH SarabunPSK" w:cs="TH SarabunPSK" w:hint="cs"/>
                <w:color w:val="000000" w:themeColor="text1"/>
              </w:rPr>
            </w:pPr>
            <w:r w:rsidRPr="00A075B4">
              <w:rPr>
                <w:rFonts w:ascii="TH SarabunPSK" w:hAnsi="TH SarabunPSK" w:cs="TH SarabunPSK" w:hint="cs"/>
                <w:color w:val="000000" w:themeColor="text1"/>
              </w:rPr>
              <w:t>การคัดกรองอวัยวะ, การแบ่งส่วนตับ/ถุงน้ำดี, พังผืดตับ (F0-F4), ไขมันพอกตับ (S0-S3), และรอยโรคเฉพาะที่ 7 ชนิด</w:t>
            </w:r>
          </w:p>
        </w:tc>
      </w:tr>
      <w:tr w:rsidR="00A075B4" w:rsidRPr="00A075B4" w14:paraId="3776EE9A" w14:textId="77777777">
        <w:trPr>
          <w:jc w:val="center"/>
        </w:trPr>
        <w:tc>
          <w:tcPr>
            <w:tcW w:w="3168" w:type="dxa"/>
            <w:shd w:val="clear" w:color="auto" w:fill="F2F5F8"/>
            <w:tcMar>
              <w:top w:w="80" w:type="dxa"/>
              <w:left w:w="100" w:type="dxa"/>
              <w:bottom w:w="80" w:type="dxa"/>
              <w:right w:w="100" w:type="dxa"/>
            </w:tcMar>
          </w:tcPr>
          <w:p w14:paraId="0AD8590B" w14:textId="77777777" w:rsidR="00A865E8" w:rsidRPr="00A075B4" w:rsidRDefault="00000000">
            <w:pPr>
              <w:spacing w:after="0"/>
              <w:rPr>
                <w:rFonts w:ascii="TH SarabunPSK" w:hAnsi="TH SarabunPSK" w:cs="TH SarabunPSK" w:hint="cs"/>
                <w:color w:val="000000" w:themeColor="text1"/>
              </w:rPr>
            </w:pPr>
            <w:proofErr w:type="spellStart"/>
            <w:r w:rsidRPr="00A075B4">
              <w:rPr>
                <w:rFonts w:ascii="TH SarabunPSK" w:hAnsi="TH SarabunPSK" w:cs="TH SarabunPSK" w:hint="cs"/>
                <w:color w:val="000000" w:themeColor="text1"/>
              </w:rPr>
              <w:t>มาตรฐานความปลอดภัย</w:t>
            </w:r>
            <w:proofErr w:type="spellEnd"/>
            <w:r w:rsidRPr="00A075B4">
              <w:rPr>
                <w:rFonts w:ascii="TH SarabunPSK" w:hAnsi="TH SarabunPSK" w:cs="TH SarabunPSK" w:hint="cs"/>
                <w:color w:val="000000" w:themeColor="text1"/>
              </w:rPr>
              <w:t>:</w:t>
            </w:r>
          </w:p>
        </w:tc>
        <w:tc>
          <w:tcPr>
            <w:tcW w:w="6192" w:type="dxa"/>
            <w:shd w:val="clear" w:color="auto" w:fill="FFFFFF"/>
            <w:tcMar>
              <w:top w:w="80" w:type="dxa"/>
              <w:left w:w="100" w:type="dxa"/>
              <w:bottom w:w="80" w:type="dxa"/>
              <w:right w:w="100" w:type="dxa"/>
            </w:tcMar>
          </w:tcPr>
          <w:p w14:paraId="28DCBE22" w14:textId="77777777" w:rsidR="00A865E8" w:rsidRPr="00A075B4" w:rsidRDefault="00000000">
            <w:pPr>
              <w:spacing w:after="0"/>
              <w:rPr>
                <w:rFonts w:ascii="TH SarabunPSK" w:hAnsi="TH SarabunPSK" w:cs="TH SarabunPSK" w:hint="cs"/>
                <w:color w:val="000000" w:themeColor="text1"/>
              </w:rPr>
            </w:pPr>
            <w:r w:rsidRPr="00A075B4">
              <w:rPr>
                <w:rFonts w:ascii="TH SarabunPSK" w:hAnsi="TH SarabunPSK" w:cs="TH SarabunPSK" w:hint="cs"/>
                <w:color w:val="000000" w:themeColor="text1"/>
              </w:rPr>
              <w:t>Zero Cross-Patient Leakage, Physical Acoustic Verification, Doctor-in-the-Loop Flywheel</w:t>
            </w:r>
          </w:p>
        </w:tc>
      </w:tr>
    </w:tbl>
    <w:p w14:paraId="35D3A658" w14:textId="77777777" w:rsidR="00A865E8" w:rsidRPr="00A075B4" w:rsidRDefault="00000000">
      <w:pPr>
        <w:keepNext/>
        <w:spacing w:before="240" w:after="120"/>
        <w:rPr>
          <w:rFonts w:ascii="TH SarabunPSK" w:hAnsi="TH SarabunPSK" w:cs="TH SarabunPSK" w:hint="cs"/>
          <w:b/>
          <w:bCs/>
          <w:color w:val="000000" w:themeColor="text1"/>
        </w:rPr>
      </w:pPr>
      <w:r w:rsidRPr="00A075B4">
        <w:rPr>
          <w:rFonts w:ascii="TH SarabunPSK" w:hAnsi="TH SarabunPSK" w:cs="TH SarabunPSK" w:hint="cs"/>
          <w:b/>
          <w:bCs/>
          <w:color w:val="000000" w:themeColor="text1"/>
        </w:rPr>
        <w:t xml:space="preserve">1. </w:t>
      </w:r>
      <w:proofErr w:type="spellStart"/>
      <w:r w:rsidRPr="00A075B4">
        <w:rPr>
          <w:rFonts w:ascii="TH SarabunPSK" w:hAnsi="TH SarabunPSK" w:cs="TH SarabunPSK" w:hint="cs"/>
          <w:b/>
          <w:bCs/>
          <w:color w:val="000000" w:themeColor="text1"/>
        </w:rPr>
        <w:t>บทสรุปสำหรับผู้บริหาร</w:t>
      </w:r>
      <w:proofErr w:type="spellEnd"/>
      <w:r w:rsidRPr="00A075B4">
        <w:rPr>
          <w:rFonts w:ascii="TH SarabunPSK" w:hAnsi="TH SarabunPSK" w:cs="TH SarabunPSK" w:hint="cs"/>
          <w:b/>
          <w:bCs/>
          <w:color w:val="000000" w:themeColor="text1"/>
        </w:rPr>
        <w:t xml:space="preserve"> (Executive Summary)</w:t>
      </w:r>
    </w:p>
    <w:p w14:paraId="332E0143" w14:textId="741959FB"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โครงการ SmartLiva ได้รับการออกแบบและพัฒนาขึ้นเพื่อเป็นระบบปัญญาประดิษฐ์ช่วยสนับสนุนการตัดสินใจทางคลินิก (Clinical Decision Support System: CDSS) และผู้ช่วยคัดกรองโรคตับจากการตรวจคลื่นเสียงความถี่สูง (B-mode Ultrasound) โดยมุ่งเน้นการแก้ปัญหาคอขวดที่สำคัญที่สุดในระบบ AI ทางการแพทย์ ได้แก่ ภาวะ AI หลอน (Hallucination), การทำนายผิดพลาดบนภาพที่ไม่ใช่อวัยวะเป้าหมาย (Out-of-Distribution Error), และปัญหาความไม่สอดคล้องระหว่างข้อมูลภาพกับผลการตรวจทางคลินิก</w:t>
      </w:r>
      <w:proofErr w:type="spellStart"/>
      <w:r w:rsidRPr="00A075B4">
        <w:rPr>
          <w:rFonts w:ascii="TH SarabunPSK" w:hAnsi="TH SarabunPSK" w:cs="TH SarabunPSK" w:hint="cs"/>
          <w:color w:val="000000" w:themeColor="text1"/>
        </w:rPr>
        <w:t>จริง</w:t>
      </w:r>
      <w:proofErr w:type="spellEnd"/>
    </w:p>
    <w:p w14:paraId="06F33246" w14:textId="77777777" w:rsidR="00A865E8" w:rsidRPr="00A075B4" w:rsidRDefault="00000000">
      <w:pPr>
        <w:keepNext/>
        <w:spacing w:before="240" w:after="120"/>
        <w:rPr>
          <w:rFonts w:ascii="TH SarabunPSK" w:hAnsi="TH SarabunPSK" w:cs="TH SarabunPSK" w:hint="cs"/>
          <w:b/>
          <w:bCs/>
          <w:color w:val="000000" w:themeColor="text1"/>
        </w:rPr>
      </w:pPr>
      <w:r w:rsidRPr="00A075B4">
        <w:rPr>
          <w:rFonts w:ascii="TH SarabunPSK" w:hAnsi="TH SarabunPSK" w:cs="TH SarabunPSK" w:hint="cs"/>
          <w:b/>
          <w:bCs/>
          <w:color w:val="000000" w:themeColor="text1"/>
        </w:rPr>
        <w:t xml:space="preserve">2. </w:t>
      </w:r>
      <w:proofErr w:type="spellStart"/>
      <w:r w:rsidRPr="00A075B4">
        <w:rPr>
          <w:rFonts w:ascii="TH SarabunPSK" w:hAnsi="TH SarabunPSK" w:cs="TH SarabunPSK" w:hint="cs"/>
          <w:b/>
          <w:bCs/>
          <w:color w:val="000000" w:themeColor="text1"/>
        </w:rPr>
        <w:t>ปรัชญาการออกแบบและสถาปัตยกรรมระบบ</w:t>
      </w:r>
      <w:proofErr w:type="spellEnd"/>
      <w:r w:rsidRPr="00A075B4">
        <w:rPr>
          <w:rFonts w:ascii="TH SarabunPSK" w:hAnsi="TH SarabunPSK" w:cs="TH SarabunPSK" w:hint="cs"/>
          <w:b/>
          <w:bCs/>
          <w:color w:val="000000" w:themeColor="text1"/>
        </w:rPr>
        <w:t xml:space="preserve"> (Clinical Architecture)</w:t>
      </w:r>
    </w:p>
    <w:p w14:paraId="3ADC4D1F"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ในการตรวจอัลตราซาวนด์ช่องท้องจริง แพทย์จะต้องสแกนผ่านหลายอวัยวะและมุมมอง (Acoustic Windows) หากนำภาพใดๆ ป้อนเข้าสู่โมเดลวินิจฉัยโรคตับโดยตรง โมเดล Deep Learning ทั่วไปจะพยายามฝืนวินิจฉัยแม้ว่าภาพนั้นจะเป็นไต ม้าม หรือสัญญาณรบกวน ซึ่งเป็นอันตรายอย่างยิ่งในทางคลินิก ทีมวิจัยจึงได้ออกแบบสถาปัตยกรรมการเรียนรู้แบบ Multi-Stage Cascaded Gating ดังนี้:</w:t>
      </w:r>
    </w:p>
    <w:p w14:paraId="30875FC0"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ระดับที่ 1 - Physics Gate: ด่านตรวจสอบทางกายภาพและคุณภาพของสัญญาณคลื่นเสียง (Acoustic Physics Envelope &amp; No-Reference Quality Gate) วิเคราะห์การกระจายตัวของ Speckle Noise, ความคมชัด (Laplacian Variance), คอนทราสต์ และขอบเขตการลดทอนของคลื่น เพื่อตัดภาพที่ไม่ใช่อัลตราซาวนด์หรือภาพที่เบลอจนไม่สามารถใช้วินิจฉัยได้ทันที (Hard-Halt)</w:t>
      </w:r>
    </w:p>
    <w:p w14:paraId="54711926"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ระดับที่ 2 - 10-Class Organ Gate: โมเดล ResNet-18 ทำหน้าที่จำแนกภาพอัลตราซาวนด์ออกเป็น 10 คลาสอวัยวะ (Liver, Kidney, Gallbladder, Spleen, Bladder, Thyroid, Breast, Carotid, Heart, Other) หากความเชื่อมั่นไม่ถึงเกณฑ์ หรือภาพไม่ใช่อัลตราซาวนด์ตับ ระบบจะปฏิเสธการวิเคราะห์โรคทันที</w:t>
      </w:r>
    </w:p>
    <w:p w14:paraId="11DE9CD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ระดับที่ 3 - Multi-Organ Segmentation: การผสานระหว่าง MedSAM2 (Medical Segment Anything Model 2) และ 4-Level U-Net เพื่อสร้าง Mask ขอบเขตเนื้อตับ (Liver Parenchyma) และถุงน้ำดี (Gallbladder) พร้อมกลไก Gallbladder Mutual Exclusion เพื่อลบพิกเซลถุงน้ำดีออกจากเนื้อตับ ป้องกันการวิเคราะห์เนื้อเยื่อผิดพลาด</w:t>
      </w:r>
    </w:p>
    <w:p w14:paraId="24331236"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ระดับที่ 4 - 4-in-1 Disease Specialists: ระบบ AI เฉพาะทาง 4 ด้าน ประกอบด้วย: (1) Fibrosis Staging (F0-F4) ด้วย 5-Fold Ensemble, (2) Steatosis Attenuation (S0-S3) ด้วยฟิสิกส์คลื่นเสียง, (3) Focal Lesion Detection 7 คลาส ด้วย YOLOv8, และ (4) Fluke/CCA Risk จากความหนาตัวของท่อน้ำดีร่วมกับประวัติผู้ป่วย</w:t>
      </w:r>
    </w:p>
    <w:p w14:paraId="564E6700"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ระดับที่ 5 - Clinical Rule Engine: ระบบกฎความปลอดภัยและการรวมหลักฐานทางการแพทย์ (Evidence &amp; Safety Rule Engine) เพื่อประเมินความเสี่ยงและส่งต่อตรวจ CT Triphasic หรือส่งพบแพทย์เฉพาะทาง</w:t>
      </w:r>
    </w:p>
    <w:p w14:paraId="18D24C7C"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ระดับที่ 6 - Doctor Flywheel: ระบบบันทึกและเรียนรู้ร่วมกับแพทย์ (SQLite Flywheel) แพทย์สามารถยืนยัน ปรับแก้ Bounding Box หรือ Override ผลการทำนาย ซึ่งข้อมูลทั้งหมดจะถูกบันทึกเพื่อใช้ในการฝึกสอนรอบถัดไป</w:t>
      </w:r>
    </w:p>
    <w:p w14:paraId="56CCF096" w14:textId="77777777" w:rsidR="00A865E8" w:rsidRPr="00A075B4" w:rsidRDefault="00000000">
      <w:pPr>
        <w:keepNext/>
        <w:spacing w:before="240" w:after="120"/>
        <w:rPr>
          <w:rFonts w:ascii="TH SarabunPSK" w:hAnsi="TH SarabunPSK" w:cs="TH SarabunPSK" w:hint="cs"/>
          <w:b/>
          <w:bCs/>
          <w:color w:val="000000" w:themeColor="text1"/>
        </w:rPr>
      </w:pPr>
      <w:r w:rsidRPr="00A075B4">
        <w:rPr>
          <w:rFonts w:ascii="TH SarabunPSK" w:hAnsi="TH SarabunPSK" w:cs="TH SarabunPSK" w:hint="cs"/>
          <w:b/>
          <w:bCs/>
          <w:color w:val="000000" w:themeColor="text1"/>
        </w:rPr>
        <w:lastRenderedPageBreak/>
        <w:t>3. การจัดการชุดข้อมูลและมาตรฐานความปลอดภัยทางการแพทย์ (Medical Dataset &amp; Partitioning)</w:t>
      </w:r>
    </w:p>
    <w:p w14:paraId="0F368589"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หนึ่งในข้อผิดพลาดที่ร้ายแรงที่สุดในการพัฒนาโมเดล AI ทางการแพทย์คือ 'Data Leakage' ซึ่งเกิดขึ้นเมื่อนำภาพหลายๆ มุมมอง (Views) หรือหลายเฟรมของผู้ป่วยคนเดียวกัน กระจายไปอยู่ในทั้งชุดฝึกสอน (Train Set) และชุดทดสอบ (Validation/Test Set) ทำให้โมเดลจำอัตลักษณ์ของเครื่องตรวจหรือเนื้อเยื่อเฉพาะตัวของผู้ป่วยได้ ส่งผลให้ค่าความแม่นยำสูงเกินจริง (Overoptimistic Results) แต่ล้มเหลวเมื่อนำไปใช้จริงในโรงพยาบาล</w:t>
      </w:r>
    </w:p>
    <w:p w14:paraId="39AD807B" w14:textId="2FF99BC7" w:rsidR="00A865E8" w:rsidRPr="00A075B4" w:rsidRDefault="00000000">
      <w:pPr>
        <w:spacing w:after="120"/>
        <w:rPr>
          <w:rFonts w:ascii="TH SarabunPSK" w:hAnsi="TH SarabunPSK" w:cs="TH SarabunPSK" w:hint="cs"/>
          <w:b/>
          <w:bCs/>
          <w:color w:val="000000" w:themeColor="text1"/>
        </w:rPr>
      </w:pPr>
      <w:proofErr w:type="spellStart"/>
      <w:r w:rsidRPr="00A075B4">
        <w:rPr>
          <w:rFonts w:ascii="TH SarabunPSK" w:hAnsi="TH SarabunPSK" w:cs="TH SarabunPSK" w:hint="cs"/>
          <w:b/>
          <w:bCs/>
          <w:color w:val="000000" w:themeColor="text1"/>
        </w:rPr>
        <w:t>มาตรการควบคุมความถูกต้อง</w:t>
      </w:r>
      <w:proofErr w:type="spellEnd"/>
      <w:r w:rsidRPr="00A075B4">
        <w:rPr>
          <w:rFonts w:ascii="TH SarabunPSK" w:hAnsi="TH SarabunPSK" w:cs="TH SarabunPSK" w:hint="cs"/>
          <w:b/>
          <w:bCs/>
          <w:color w:val="000000" w:themeColor="text1"/>
        </w:rPr>
        <w:t xml:space="preserve">: </w:t>
      </w:r>
      <w:proofErr w:type="spellStart"/>
      <w:r w:rsidRPr="00A075B4">
        <w:rPr>
          <w:rFonts w:ascii="TH SarabunPSK" w:hAnsi="TH SarabunPSK" w:cs="TH SarabunPSK" w:hint="cs"/>
          <w:b/>
          <w:bCs/>
          <w:color w:val="000000" w:themeColor="text1"/>
        </w:rPr>
        <w:t>กฎเหล็ก</w:t>
      </w:r>
      <w:proofErr w:type="spellEnd"/>
      <w:r w:rsidRPr="00A075B4">
        <w:rPr>
          <w:rFonts w:ascii="TH SarabunPSK" w:hAnsi="TH SarabunPSK" w:cs="TH SarabunPSK" w:hint="cs"/>
          <w:b/>
          <w:bCs/>
          <w:color w:val="000000" w:themeColor="text1"/>
        </w:rPr>
        <w:t xml:space="preserve"> Zero Cross-Patient Leakage (SaMD Compliance)</w:t>
      </w:r>
    </w:p>
    <w:p w14:paraId="5026D2DD"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ทีมงานได้พัฒนาระบบ Patient Split Auditor (tools/patient_split_auditor.py) ซึ่งตรวจสอบรหัสผู้ป่วย (Patient ID) จาก DICOM Metadata และโครงสร้างไฟล์ โดยบังคับให้ภาพทุกเฟรม ทุกมุมตรวจ (เช่น FPH, GBH, LHA, LHP, LHV, RH, SPH) และทุกรอยโรคของผู้ป่วยรายหนึ่งๆ ต้องถูกจัดให้อยู่ในกลุ่ม Train, Val หรือ Test เพียงกลุ่มเดียวเท่านั้น</w:t>
      </w:r>
    </w:p>
    <w:tbl>
      <w:tblPr>
        <w:tblStyle w:val="TableGrid"/>
        <w:tblW w:w="0" w:type="auto"/>
        <w:tblLook w:val="04A0" w:firstRow="1" w:lastRow="0" w:firstColumn="1" w:lastColumn="0" w:noHBand="0" w:noVBand="1"/>
      </w:tblPr>
      <w:tblGrid>
        <w:gridCol w:w="2162"/>
        <w:gridCol w:w="2134"/>
        <w:gridCol w:w="2762"/>
        <w:gridCol w:w="2292"/>
      </w:tblGrid>
      <w:tr w:rsidR="00A075B4" w:rsidRPr="00A075B4" w14:paraId="53007C0A" w14:textId="77777777" w:rsidTr="00A075B4">
        <w:tc>
          <w:tcPr>
            <w:tcW w:w="2340" w:type="dxa"/>
          </w:tcPr>
          <w:p w14:paraId="7C743C80"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ชุดข้อมูล (Split)</w:t>
            </w:r>
          </w:p>
        </w:tc>
        <w:tc>
          <w:tcPr>
            <w:tcW w:w="2340" w:type="dxa"/>
          </w:tcPr>
          <w:p w14:paraId="12420100"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สัดส่วน (%)</w:t>
            </w:r>
          </w:p>
        </w:tc>
        <w:tc>
          <w:tcPr>
            <w:tcW w:w="2340" w:type="dxa"/>
          </w:tcPr>
          <w:p w14:paraId="092D1247"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บทบาทหน้าที่ในการเทรน</w:t>
            </w:r>
          </w:p>
        </w:tc>
        <w:tc>
          <w:tcPr>
            <w:tcW w:w="2340" w:type="dxa"/>
          </w:tcPr>
          <w:p w14:paraId="2122E6E4"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การป้องกัน Data Leakage</w:t>
            </w:r>
          </w:p>
        </w:tc>
      </w:tr>
      <w:tr w:rsidR="00A075B4" w:rsidRPr="00A075B4" w14:paraId="53306391" w14:textId="77777777" w:rsidTr="00A075B4">
        <w:tc>
          <w:tcPr>
            <w:tcW w:w="2340" w:type="dxa"/>
          </w:tcPr>
          <w:p w14:paraId="54A362D9"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Training Set</w:t>
            </w:r>
          </w:p>
        </w:tc>
        <w:tc>
          <w:tcPr>
            <w:tcW w:w="2340" w:type="dxa"/>
          </w:tcPr>
          <w:p w14:paraId="1B140928"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70%</w:t>
            </w:r>
          </w:p>
        </w:tc>
        <w:tc>
          <w:tcPr>
            <w:tcW w:w="2340" w:type="dxa"/>
          </w:tcPr>
          <w:p w14:paraId="6AB013B4"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ฝึกสอนพารามิเตอร์ของโมเดล (Backbone, Segmentation, Detection, Heads)</w:t>
            </w:r>
          </w:p>
        </w:tc>
        <w:tc>
          <w:tcPr>
            <w:tcW w:w="2340" w:type="dxa"/>
          </w:tcPr>
          <w:p w14:paraId="7FF0C7DD"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สุ่มและจัดกลุ่มเฉพาะ Patient IDs ในกลุ่ม Train</w:t>
            </w:r>
          </w:p>
        </w:tc>
      </w:tr>
      <w:tr w:rsidR="00A075B4" w:rsidRPr="00A075B4" w14:paraId="0A7F0E6F" w14:textId="77777777" w:rsidTr="00A075B4">
        <w:tc>
          <w:tcPr>
            <w:tcW w:w="2340" w:type="dxa"/>
          </w:tcPr>
          <w:p w14:paraId="02689C4E"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Inner Validation Set</w:t>
            </w:r>
          </w:p>
        </w:tc>
        <w:tc>
          <w:tcPr>
            <w:tcW w:w="2340" w:type="dxa"/>
          </w:tcPr>
          <w:p w14:paraId="0240FBA9"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15%</w:t>
            </w:r>
          </w:p>
        </w:tc>
        <w:tc>
          <w:tcPr>
            <w:tcW w:w="2340" w:type="dxa"/>
          </w:tcPr>
          <w:p w14:paraId="12033307"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ใช้ทำ Early Stopping, Model EMA, และ Calibrate Thresholds</w:t>
            </w:r>
          </w:p>
        </w:tc>
        <w:tc>
          <w:tcPr>
            <w:tcW w:w="2340" w:type="dxa"/>
          </w:tcPr>
          <w:p w14:paraId="1FC95999"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แยกผู้ป่วยออกจาก Outer Val เด็ดขาด</w:t>
            </w:r>
          </w:p>
        </w:tc>
      </w:tr>
      <w:tr w:rsidR="00A075B4" w:rsidRPr="00A075B4" w14:paraId="1382B100" w14:textId="77777777" w:rsidTr="00A075B4">
        <w:tc>
          <w:tcPr>
            <w:tcW w:w="2340" w:type="dxa"/>
          </w:tcPr>
          <w:p w14:paraId="47595D14"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Outer Test Set (Frozen)</w:t>
            </w:r>
          </w:p>
        </w:tc>
        <w:tc>
          <w:tcPr>
            <w:tcW w:w="2340" w:type="dxa"/>
          </w:tcPr>
          <w:p w14:paraId="4A54928F"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15%</w:t>
            </w:r>
          </w:p>
        </w:tc>
        <w:tc>
          <w:tcPr>
            <w:tcW w:w="2340" w:type="dxa"/>
          </w:tcPr>
          <w:p w14:paraId="2987425B"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ทดสอบประเมินผลครั้งสุดท้ายเพียงรอบเดียว (Unbiased Benchmark)</w:t>
            </w:r>
          </w:p>
        </w:tc>
        <w:tc>
          <w:tcPr>
            <w:tcW w:w="2340" w:type="dxa"/>
          </w:tcPr>
          <w:p w14:paraId="45095EB2"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ไม่ถูกแตะต้องหรือใช้ในการจูน Hyperparameter ใดๆ</w:t>
            </w:r>
          </w:p>
        </w:tc>
      </w:tr>
    </w:tbl>
    <w:p w14:paraId="32890C9A" w14:textId="77777777" w:rsidR="00A865E8" w:rsidRPr="00A075B4" w:rsidRDefault="00000000">
      <w:pPr>
        <w:keepNext/>
        <w:spacing w:before="240" w:after="120"/>
        <w:rPr>
          <w:rFonts w:ascii="TH SarabunPSK" w:hAnsi="TH SarabunPSK" w:cs="TH SarabunPSK" w:hint="cs"/>
          <w:b/>
          <w:bCs/>
          <w:color w:val="000000" w:themeColor="text1"/>
        </w:rPr>
      </w:pPr>
      <w:r w:rsidRPr="00A075B4">
        <w:rPr>
          <w:rFonts w:ascii="TH SarabunPSK" w:hAnsi="TH SarabunPSK" w:cs="TH SarabunPSK" w:hint="cs"/>
          <w:b/>
          <w:bCs/>
          <w:color w:val="000000" w:themeColor="text1"/>
        </w:rPr>
        <w:t xml:space="preserve">4. </w:t>
      </w:r>
      <w:proofErr w:type="spellStart"/>
      <w:r w:rsidRPr="00A075B4">
        <w:rPr>
          <w:rFonts w:ascii="TH SarabunPSK" w:hAnsi="TH SarabunPSK" w:cs="TH SarabunPSK" w:hint="cs"/>
          <w:b/>
          <w:bCs/>
          <w:color w:val="000000" w:themeColor="text1"/>
        </w:rPr>
        <w:t>เทคนิคการเตรียมข้อมูลและการจำลองลักษณะคลื่นเสียง</w:t>
      </w:r>
      <w:proofErr w:type="spellEnd"/>
      <w:r w:rsidRPr="00A075B4">
        <w:rPr>
          <w:rFonts w:ascii="TH SarabunPSK" w:hAnsi="TH SarabunPSK" w:cs="TH SarabunPSK" w:hint="cs"/>
          <w:b/>
          <w:bCs/>
          <w:color w:val="000000" w:themeColor="text1"/>
        </w:rPr>
        <w:t xml:space="preserve"> (Ultrasound Preprocessing &amp; Augmentation)</w:t>
      </w:r>
    </w:p>
    <w:p w14:paraId="4EB52E49"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ภาพอัลตราซาวนด์ทางการแพทย์มีความท้าทายเฉพาะตัวที่แตกต่างจากภาพถ่ายทั่วไป (Natural Images) เช่น มีสัญญาณรบกวนแบบ Speckle, มีตัวหนังสือและแถบสเกลของผู้ผลิตเครื่องตรวจติดอยู่บนภาพ (Burned-in Vendor Chrome), และมีความสว่างของภาพที่ไม่คงที่ตามการตั้งค่า Time Gain Compensation (TGC) ของแพทย์ผู้ตรวจ</w:t>
      </w:r>
    </w:p>
    <w:p w14:paraId="17BD8528" w14:textId="1813DDFF"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1. การตรวจจับและตัดขอบเขตพัดเสียง (Ultrasound Fan / Sector Geometric Crop):</w:t>
      </w:r>
    </w:p>
    <w:p w14:paraId="5CAA12D1"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ตัวหนังสือข้อมูลผู้ป่วย สเกลความลึก และโลโก้โรงพยาบาลไม่ได้อยู่ในตำแหน่งพิกเซลที่คงที่ (Non-static Chrome) ดังนั้นการใช้ Static Mask จึงไม่สามารถลบออกได้หมด ทีมงานจึงได้พัฒนาระบบ Thresholding + Morphological Opening (detect_fan ใน preprocess.py) เพื่อค้นหา Convex Sector ของคลื่นเสียงและตัดเฉพาะพื้นที่คลื่นเสียงออกมาอย่างสมบูรณ์</w:t>
      </w:r>
    </w:p>
    <w:p w14:paraId="03A0BA1D" w14:textId="01C85D4C"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2. การป้องกัน Scanner Fingerprint Confounding Factor:</w:t>
      </w:r>
    </w:p>
    <w:p w14:paraId="4810AA60"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จากการวิเคราะห์ข้อมูลทางสถิติพบว่า อัตราส่วนภาพ (Aspect Ratio) และขนาด Resolution ดั้งเดิม มีความสัมพันธ์เชิงลวง (Confounding Bias) กับชนิดเครื่องตรวจและกลุ่มโรค (เช่น ภาพ 720x1000 มีค่าความแข็งเฉลี่ย 5.10 kPa ขณะที่ภาพ 730x1020 มีค่าความแข็งเฉลี่ย 6.75 kPa) ระบบจึงทำการปรับขนาดภาพแบบ Fixed Square Stretching สู่ขนาด 256x256 หรือ 320x320 โดยไม่รักษาสัดส่วนเดิม เพื่อทำลาย 'รอยนิ้วมือของเครื่องตรวจ' (Scanner Fingerprint) ไม่ให้โมเดลใช้เป็นทางลัด (Shortcut Learning)</w:t>
      </w:r>
    </w:p>
    <w:p w14:paraId="4264F56C" w14:textId="39042265"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3. ชุดการแปลงข้อมูลจำลองคลื่นเสียง (Ultrasound-Specific Data Augmentations):</w:t>
      </w:r>
    </w:p>
    <w:p w14:paraId="36281431"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Speckle Noise Simulation: การสร้างสัญญาณรบกวนคลื่นเสียงสะท้อนแบบ Multiplicative: x' = x * (1 + </w:t>
      </w:r>
      <w:proofErr w:type="gramStart"/>
      <w:r w:rsidRPr="00A075B4">
        <w:rPr>
          <w:rFonts w:ascii="TH SarabunPSK" w:hAnsi="TH SarabunPSK" w:cs="TH SarabunPSK" w:hint="cs"/>
          <w:color w:val="000000" w:themeColor="text1"/>
        </w:rPr>
        <w:t>N(</w:t>
      </w:r>
      <w:proofErr w:type="gramEnd"/>
      <w:r w:rsidRPr="00A075B4">
        <w:rPr>
          <w:rFonts w:ascii="TH SarabunPSK" w:hAnsi="TH SarabunPSK" w:cs="TH SarabunPSK" w:hint="cs"/>
          <w:color w:val="000000" w:themeColor="text1"/>
        </w:rPr>
        <w:t xml:space="preserve">0, </w:t>
      </w:r>
      <w:r w:rsidRPr="00A075B4">
        <w:rPr>
          <w:rFonts w:ascii="Calibri" w:hAnsi="Calibri" w:cs="Calibri"/>
          <w:color w:val="000000" w:themeColor="text1"/>
        </w:rPr>
        <w:t>σ</w:t>
      </w:r>
      <w:r w:rsidRPr="00A075B4">
        <w:rPr>
          <w:rFonts w:ascii="TH SarabunPSK" w:hAnsi="TH SarabunPSK" w:cs="TH SarabunPSK" w:hint="cs"/>
          <w:color w:val="000000" w:themeColor="text1"/>
        </w:rPr>
        <w:t>)) โดยจำลองการแทรกสอดของคลื่นเสียงในเนื้อตับจริง ช่วยให้โมเดลไม่ Overfit ต่อสัญญาณรบกวนเฉพาะภาพ</w:t>
      </w:r>
    </w:p>
    <w:p w14:paraId="3A9B5B1E"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TGC Gain Shift &amp; Color Jitter: การปรับ Brightness (±25%) และ Contrast (±25%) เพื่อจำลองการหมุนปรับเกนความสว่างของแพทย์และคุณสมบัติของหัวตรวจที่ต่างกัน</w:t>
      </w:r>
    </w:p>
    <w:p w14:paraId="75035407"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lastRenderedPageBreak/>
        <w:t>Strict No-Vertical-Flip Rule: ห้ามพลิกภาพกลับหัว (No Vertical Flip / FlipUD = 0.0) โดยเด็ดขาด เพราะในอัลตราซาวนด์ ทิศทางจากบนลงล่างคือ 'ความลึกของคลื่นเสียง' (Acoustic Depth) ซึ่งมีผลต่อการลดทอนของสัญญาณและกายวิภาคศาสตร์ การกลับหัวจะทำให้ภาพผิดหลักฟิสิกส์การแพทย์</w:t>
      </w:r>
    </w:p>
    <w:p w14:paraId="1BBB9159"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Probe Tilt &amp; Acoustic Occlusion: การเอียงหัวตรวจเล็กน้อย (Degrees ≤ 10°), การเลื่อนภาพ (Translate ≤ 5-10%), การซูม (Scale 0.6-1.0), และการทำ Random Erasing / Cutout ขนาดเล็กเพื่อจำลองการบดบังของเงากระดูกซี่โครงหรือก๊าซในลำไส้</w:t>
      </w:r>
    </w:p>
    <w:p w14:paraId="05C3C01A" w14:textId="77777777" w:rsidR="00A865E8" w:rsidRPr="00A075B4" w:rsidRDefault="00000000">
      <w:pPr>
        <w:keepNext/>
        <w:spacing w:before="240" w:after="120"/>
        <w:rPr>
          <w:rFonts w:ascii="TH SarabunPSK" w:hAnsi="TH SarabunPSK" w:cs="TH SarabunPSK" w:hint="cs"/>
          <w:b/>
          <w:bCs/>
          <w:color w:val="000000" w:themeColor="text1"/>
        </w:rPr>
      </w:pPr>
      <w:r w:rsidRPr="00A075B4">
        <w:rPr>
          <w:rFonts w:ascii="TH SarabunPSK" w:hAnsi="TH SarabunPSK" w:cs="TH SarabunPSK" w:hint="cs"/>
          <w:b/>
          <w:bCs/>
          <w:color w:val="000000" w:themeColor="text1"/>
        </w:rPr>
        <w:t>5. กระบวนการฝึกสอนและโครงสร้างโมเดลแต่ละโมดูล (Detailed Model Training)</w:t>
      </w:r>
    </w:p>
    <w:p w14:paraId="41AD64D6" w14:textId="77777777" w:rsidR="00A865E8" w:rsidRPr="00A075B4" w:rsidRDefault="00000000">
      <w:pPr>
        <w:keepNext/>
        <w:spacing w:before="160" w:after="80"/>
        <w:rPr>
          <w:rFonts w:ascii="TH SarabunPSK" w:hAnsi="TH SarabunPSK" w:cs="TH SarabunPSK" w:hint="cs"/>
          <w:color w:val="000000" w:themeColor="text1"/>
        </w:rPr>
      </w:pPr>
      <w:r w:rsidRPr="00A075B4">
        <w:rPr>
          <w:rFonts w:ascii="TH SarabunPSK" w:hAnsi="TH SarabunPSK" w:cs="TH SarabunPSK" w:hint="cs"/>
          <w:color w:val="000000" w:themeColor="text1"/>
        </w:rPr>
        <w:t>5.1 ด่านตรวจสอบกายภาพและคัดกรองอวัยวะ (Quality Gate &amp; 10-Class ResNet-18 Gatekeeper)</w:t>
      </w:r>
    </w:p>
    <w:p w14:paraId="340232D8"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ทำหน้าที่เป็นปราการด่านแรกในการสกัดกั้นภาพที่ไม่ถูกต้อง ประกอบด้วย 2 องค์ประกอบ:</w:t>
      </w:r>
    </w:p>
    <w:p w14:paraId="53655EC9"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Acoustic Physics Envelope: คำนวณตัวชี้วัด No-Reference Metrics ได้แก่ Content Fraction (≥ 0.12), Laplacian Sharpness Variance (≥ 6.0), Contrast STD (≥ 0.045), และ White Saturation Fraction (≤ 0.35) รวมถึงตรวจสอบความสอดคล้องของ Speckle Physics Envelope ตามชนิดหัวตรวจ (Fan / Linear Convex)</w:t>
      </w:r>
    </w:p>
    <w:p w14:paraId="72F22872"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10-Class Organ Classifier: โมเดล ResNet-18 (Pretrained ImageNet) เทรนด้วย Cross-Entropy Loss บนชุดข้อมูลภาพอัลตราซาวนด์อวัยวะต่างๆ 10 คลาส พร้อมฟังก์ชัน Abstain Logic (หากความน่าจะเป็นสูงสุดต่ำกว่า 0.55 หรือ Entropy &gt; 1.30 ระบบจะจัดเป็น UNCERTAIN และส่งต่อให้แพทย์ตรวจสอบ)</w:t>
      </w:r>
    </w:p>
    <w:p w14:paraId="4F069F0A" w14:textId="77777777" w:rsidR="00A865E8" w:rsidRPr="00A075B4" w:rsidRDefault="00000000">
      <w:pPr>
        <w:keepNext/>
        <w:spacing w:before="160" w:after="80"/>
        <w:rPr>
          <w:rFonts w:ascii="TH SarabunPSK" w:hAnsi="TH SarabunPSK" w:cs="TH SarabunPSK" w:hint="cs"/>
          <w:color w:val="000000" w:themeColor="text1"/>
        </w:rPr>
      </w:pPr>
      <w:r w:rsidRPr="00A075B4">
        <w:rPr>
          <w:rFonts w:ascii="TH SarabunPSK" w:hAnsi="TH SarabunPSK" w:cs="TH SarabunPSK" w:hint="cs"/>
          <w:color w:val="000000" w:themeColor="text1"/>
        </w:rPr>
        <w:t>5.2 การแบ่งส่วนตับและถุงน้ำดี (Multi-Organ Segmentation: MedSAM2 &amp; U-Net)</w:t>
      </w:r>
    </w:p>
    <w:p w14:paraId="4C10259D"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การระบุตำแหน่งเนื้อตับที่แม่นยำเป็นหัวใจสำคัญของการประเมินพังผืดและไขมันพอกตับ โครงการได้พัฒนาและเปรียบเทียบโมเดล 2 แนวทาง:</w:t>
      </w:r>
    </w:p>
    <w:p w14:paraId="227FCFDA"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MedSAM2 (SAM 2.1 Hiera Tiny/Small): โมเดล Vision Transformer (ViT) Foundation Model ทางการแพทย์ที่ใช้ Prompt Box จากโมเดล YOLO Prompter เพื่อสร้าง Mask ความละเอียดสูง สามารถจับขอบเขตตับและหลอดเลือดได้อย่างยอดเยี่ยม</w:t>
      </w:r>
    </w:p>
    <w:p w14:paraId="1C55B38B"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4-Level Multi-Organ U-Net: โมเดล U-Net 4-Level Encoder-Decoder (1-Channel / 3-Class) ทำการแบ่งส่วน Liver, Gallbladder, และ Background อย่างรวดเร็ว</w:t>
      </w:r>
    </w:p>
    <w:p w14:paraId="1ED58AB4" w14:textId="4B966ADF" w:rsidR="00A865E8" w:rsidRPr="00A075B4" w:rsidRDefault="00000000">
      <w:pPr>
        <w:spacing w:after="120"/>
        <w:rPr>
          <w:rFonts w:ascii="TH SarabunPSK" w:hAnsi="TH SarabunPSK" w:cs="TH SarabunPSK" w:hint="cs"/>
          <w:color w:val="000000" w:themeColor="text1"/>
        </w:rPr>
      </w:pPr>
      <w:proofErr w:type="spellStart"/>
      <w:r w:rsidRPr="00A075B4">
        <w:rPr>
          <w:rFonts w:ascii="TH SarabunPSK" w:hAnsi="TH SarabunPSK" w:cs="TH SarabunPSK" w:hint="cs"/>
          <w:color w:val="000000" w:themeColor="text1"/>
        </w:rPr>
        <w:t>ฟังก์ชันการสูญเสีย</w:t>
      </w:r>
      <w:proofErr w:type="spellEnd"/>
      <w:r w:rsidRPr="00A075B4">
        <w:rPr>
          <w:rFonts w:ascii="TH SarabunPSK" w:hAnsi="TH SarabunPSK" w:cs="TH SarabunPSK" w:hint="cs"/>
          <w:color w:val="000000" w:themeColor="text1"/>
        </w:rPr>
        <w:t xml:space="preserve"> </w:t>
      </w:r>
      <w:proofErr w:type="spellStart"/>
      <w:r w:rsidRPr="00A075B4">
        <w:rPr>
          <w:rFonts w:ascii="TH SarabunPSK" w:hAnsi="TH SarabunPSK" w:cs="TH SarabunPSK" w:hint="cs"/>
          <w:color w:val="000000" w:themeColor="text1"/>
        </w:rPr>
        <w:t>CEDiceLoss</w:t>
      </w:r>
      <w:proofErr w:type="spellEnd"/>
      <w:r w:rsidRPr="00A075B4">
        <w:rPr>
          <w:rFonts w:ascii="TH SarabunPSK" w:hAnsi="TH SarabunPSK" w:cs="TH SarabunPSK" w:hint="cs"/>
          <w:color w:val="000000" w:themeColor="text1"/>
        </w:rPr>
        <w:t xml:space="preserve"> </w:t>
      </w:r>
      <w:proofErr w:type="spellStart"/>
      <w:r w:rsidRPr="00A075B4">
        <w:rPr>
          <w:rFonts w:ascii="TH SarabunPSK" w:hAnsi="TH SarabunPSK" w:cs="TH SarabunPSK" w:hint="cs"/>
          <w:color w:val="000000" w:themeColor="text1"/>
        </w:rPr>
        <w:t>สำหรับการแบ่งส่วนอวัยวะ</w:t>
      </w:r>
      <w:proofErr w:type="spellEnd"/>
      <w:r w:rsidRPr="00A075B4">
        <w:rPr>
          <w:rFonts w:ascii="TH SarabunPSK" w:hAnsi="TH SarabunPSK" w:cs="TH SarabunPSK" w:hint="cs"/>
          <w:color w:val="000000" w:themeColor="text1"/>
        </w:rPr>
        <w:t>:</w:t>
      </w:r>
    </w:p>
    <w:p w14:paraId="0136DF81"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เนื่องจากตับครอบคลุมพื้นที่ประมาณ 18% ของภาพ และถุงน้ำดีครอบคลุมเพียง 2.4% ขณะที่พื้นหลังกินพื้นที่มากกว่า 80% การใช้ Cross-Entropy ธรรมดาจะทำให้โมเดลละเลยอวัยวะขนาดเล็ก ทีมงานจึงใช้ CEDiceLoss:</w:t>
      </w:r>
    </w:p>
    <w:p w14:paraId="73044E73" w14:textId="4835E04B" w:rsidR="00A865E8" w:rsidRPr="00A075B4" w:rsidRDefault="00A075B4">
      <w:pPr>
        <w:spacing w:after="120"/>
        <w:rPr>
          <w:rFonts w:ascii="TH SarabunPSK" w:hAnsi="TH SarabunPSK" w:cs="TH SarabunPSK" w:hint="cs"/>
          <w:color w:val="000000" w:themeColor="text1"/>
        </w:rPr>
      </w:pPr>
      <w:proofErr w:type="spellStart"/>
      <w:r w:rsidRPr="00A075B4">
        <w:rPr>
          <w:rFonts w:ascii="TH SarabunPSK" w:hAnsi="TH SarabunPSK" w:cs="TH SarabunPSK" w:hint="cs"/>
          <w:color w:val="000000" w:themeColor="text1"/>
        </w:rPr>
        <w:t>สูตรคำนวณ</w:t>
      </w:r>
      <w:proofErr w:type="spellEnd"/>
      <w:r w:rsidRPr="00A075B4">
        <w:rPr>
          <w:rFonts w:ascii="TH SarabunPSK" w:hAnsi="TH SarabunPSK" w:cs="TH SarabunPSK" w:hint="cs"/>
          <w:color w:val="000000" w:themeColor="text1"/>
        </w:rPr>
        <w:t xml:space="preserve"> Loss </w:t>
      </w:r>
      <w:proofErr w:type="spellStart"/>
      <w:r w:rsidRPr="00A075B4">
        <w:rPr>
          <w:rFonts w:ascii="TH SarabunPSK" w:hAnsi="TH SarabunPSK" w:cs="TH SarabunPSK" w:hint="cs"/>
          <w:color w:val="000000" w:themeColor="text1"/>
        </w:rPr>
        <w:t>ฟังก์ชัน</w:t>
      </w:r>
      <w:proofErr w:type="spellEnd"/>
      <w:r w:rsidRPr="00A075B4">
        <w:rPr>
          <w:rFonts w:ascii="TH SarabunPSK" w:hAnsi="TH SarabunPSK" w:cs="TH SarabunPSK" w:hint="cs"/>
          <w:color w:val="000000" w:themeColor="text1"/>
        </w:rPr>
        <w:t xml:space="preserve"> </w:t>
      </w:r>
      <w:proofErr w:type="spellStart"/>
      <w:r w:rsidRPr="00A075B4">
        <w:rPr>
          <w:rFonts w:ascii="TH SarabunPSK" w:hAnsi="TH SarabunPSK" w:cs="TH SarabunPSK" w:hint="cs"/>
          <w:color w:val="000000" w:themeColor="text1"/>
        </w:rPr>
        <w:t>CEDiceLoss</w:t>
      </w:r>
      <w:proofErr w:type="spellEnd"/>
      <w:r w:rsidRPr="00A075B4">
        <w:rPr>
          <w:rFonts w:ascii="TH SarabunPSK" w:hAnsi="TH SarabunPSK" w:cs="TH SarabunPSK" w:hint="cs"/>
          <w:color w:val="000000" w:themeColor="text1"/>
        </w:rPr>
        <w:br/>
      </w:r>
      <w:proofErr w:type="spellStart"/>
      <w:r w:rsidRPr="00A075B4">
        <w:rPr>
          <w:rFonts w:ascii="TH SarabunPSK" w:hAnsi="TH SarabunPSK" w:cs="TH SarabunPSK" w:hint="cs"/>
          <w:color w:val="000000" w:themeColor="text1"/>
        </w:rPr>
        <w:t>L_total</w:t>
      </w:r>
      <w:proofErr w:type="spellEnd"/>
      <w:r w:rsidRPr="00A075B4">
        <w:rPr>
          <w:rFonts w:ascii="TH SarabunPSK" w:hAnsi="TH SarabunPSK" w:cs="TH SarabunPSK" w:hint="cs"/>
          <w:color w:val="000000" w:themeColor="text1"/>
        </w:rPr>
        <w:t xml:space="preserve"> = </w:t>
      </w:r>
      <w:proofErr w:type="spellStart"/>
      <w:proofErr w:type="gramStart"/>
      <w:r w:rsidRPr="00A075B4">
        <w:rPr>
          <w:rFonts w:ascii="TH SarabunPSK" w:hAnsi="TH SarabunPSK" w:cs="TH SarabunPSK" w:hint="cs"/>
          <w:color w:val="000000" w:themeColor="text1"/>
        </w:rPr>
        <w:t>CrossEntropyLoss</w:t>
      </w:r>
      <w:proofErr w:type="spellEnd"/>
      <w:r w:rsidRPr="00A075B4">
        <w:rPr>
          <w:rFonts w:ascii="TH SarabunPSK" w:hAnsi="TH SarabunPSK" w:cs="TH SarabunPSK" w:hint="cs"/>
          <w:color w:val="000000" w:themeColor="text1"/>
        </w:rPr>
        <w:t>(</w:t>
      </w:r>
      <w:proofErr w:type="gramEnd"/>
      <w:r w:rsidRPr="00A075B4">
        <w:rPr>
          <w:rFonts w:ascii="TH SarabunPSK" w:hAnsi="TH SarabunPSK" w:cs="TH SarabunPSK" w:hint="cs"/>
          <w:color w:val="000000" w:themeColor="text1"/>
        </w:rPr>
        <w:t>logits, targets; weights</w:t>
      </w:r>
      <w:proofErr w:type="gramStart"/>
      <w:r w:rsidRPr="00A075B4">
        <w:rPr>
          <w:rFonts w:ascii="TH SarabunPSK" w:hAnsi="TH SarabunPSK" w:cs="TH SarabunPSK" w:hint="cs"/>
          <w:color w:val="000000" w:themeColor="text1"/>
        </w:rPr>
        <w:t>=[</w:t>
      </w:r>
      <w:proofErr w:type="gramEnd"/>
      <w:r w:rsidRPr="00A075B4">
        <w:rPr>
          <w:rFonts w:ascii="TH SarabunPSK" w:hAnsi="TH SarabunPSK" w:cs="TH SarabunPSK" w:hint="cs"/>
          <w:color w:val="000000" w:themeColor="text1"/>
        </w:rPr>
        <w:t xml:space="preserve">0.3, 1.0, 1.5]) + </w:t>
      </w:r>
      <w:proofErr w:type="spellStart"/>
      <w:proofErr w:type="gramStart"/>
      <w:r w:rsidRPr="00A075B4">
        <w:rPr>
          <w:rFonts w:ascii="TH SarabunPSK" w:hAnsi="TH SarabunPSK" w:cs="TH SarabunPSK" w:hint="cs"/>
          <w:color w:val="000000" w:themeColor="text1"/>
        </w:rPr>
        <w:t>SoftDiceLoss</w:t>
      </w:r>
      <w:proofErr w:type="spellEnd"/>
      <w:r w:rsidRPr="00A075B4">
        <w:rPr>
          <w:rFonts w:ascii="TH SarabunPSK" w:hAnsi="TH SarabunPSK" w:cs="TH SarabunPSK" w:hint="cs"/>
          <w:color w:val="000000" w:themeColor="text1"/>
        </w:rPr>
        <w:t>(</w:t>
      </w:r>
      <w:proofErr w:type="gramEnd"/>
      <w:r w:rsidRPr="00A075B4">
        <w:rPr>
          <w:rFonts w:ascii="TH SarabunPSK" w:hAnsi="TH SarabunPSK" w:cs="TH SarabunPSK" w:hint="cs"/>
          <w:color w:val="000000" w:themeColor="text1"/>
        </w:rPr>
        <w:t>logits, targets)</w:t>
      </w:r>
      <w:r w:rsidRPr="00A075B4">
        <w:rPr>
          <w:rFonts w:ascii="TH SarabunPSK" w:hAnsi="TH SarabunPSK" w:cs="TH SarabunPSK" w:hint="cs"/>
          <w:color w:val="000000" w:themeColor="text1"/>
        </w:rPr>
        <w:br/>
      </w:r>
      <w:r w:rsidRPr="00A075B4">
        <w:rPr>
          <w:rFonts w:ascii="TH SarabunPSK" w:hAnsi="TH SarabunPSK" w:cs="TH SarabunPSK" w:hint="cs"/>
          <w:color w:val="000000" w:themeColor="text1"/>
        </w:rPr>
        <w:br/>
      </w:r>
      <w:proofErr w:type="spellStart"/>
      <w:r w:rsidRPr="00A075B4">
        <w:rPr>
          <w:rFonts w:ascii="TH SarabunPSK" w:hAnsi="TH SarabunPSK" w:cs="TH SarabunPSK" w:hint="cs"/>
          <w:color w:val="000000" w:themeColor="text1"/>
        </w:rPr>
        <w:t>โดย</w:t>
      </w:r>
      <w:proofErr w:type="spellEnd"/>
      <w:r w:rsidRPr="00A075B4">
        <w:rPr>
          <w:rFonts w:ascii="TH SarabunPSK" w:hAnsi="TH SarabunPSK" w:cs="TH SarabunPSK" w:hint="cs"/>
          <w:color w:val="000000" w:themeColor="text1"/>
        </w:rPr>
        <w:t xml:space="preserve"> </w:t>
      </w:r>
      <w:proofErr w:type="spellStart"/>
      <w:r w:rsidRPr="00A075B4">
        <w:rPr>
          <w:rFonts w:ascii="TH SarabunPSK" w:hAnsi="TH SarabunPSK" w:cs="TH SarabunPSK" w:hint="cs"/>
          <w:color w:val="000000" w:themeColor="text1"/>
        </w:rPr>
        <w:t>SoftDiceLoss</w:t>
      </w:r>
      <w:proofErr w:type="spellEnd"/>
      <w:r w:rsidRPr="00A075B4">
        <w:rPr>
          <w:rFonts w:ascii="TH SarabunPSK" w:hAnsi="TH SarabunPSK" w:cs="TH SarabunPSK" w:hint="cs"/>
          <w:color w:val="000000" w:themeColor="text1"/>
        </w:rPr>
        <w:t xml:space="preserve"> </w:t>
      </w:r>
      <w:proofErr w:type="spellStart"/>
      <w:r w:rsidRPr="00A075B4">
        <w:rPr>
          <w:rFonts w:ascii="TH SarabunPSK" w:hAnsi="TH SarabunPSK" w:cs="TH SarabunPSK" w:hint="cs"/>
          <w:color w:val="000000" w:themeColor="text1"/>
        </w:rPr>
        <w:t>คำนวณเฉพาะคลาสอวัยวะ</w:t>
      </w:r>
      <w:proofErr w:type="spellEnd"/>
      <w:r w:rsidRPr="00A075B4">
        <w:rPr>
          <w:rFonts w:ascii="TH SarabunPSK" w:hAnsi="TH SarabunPSK" w:cs="TH SarabunPSK" w:hint="cs"/>
          <w:color w:val="000000" w:themeColor="text1"/>
        </w:rPr>
        <w:t xml:space="preserve"> (</w:t>
      </w:r>
      <w:proofErr w:type="spellStart"/>
      <w:r w:rsidRPr="00A075B4">
        <w:rPr>
          <w:rFonts w:ascii="TH SarabunPSK" w:hAnsi="TH SarabunPSK" w:cs="TH SarabunPSK" w:hint="cs"/>
          <w:color w:val="000000" w:themeColor="text1"/>
        </w:rPr>
        <w:t>ไม่รวม</w:t>
      </w:r>
      <w:proofErr w:type="spellEnd"/>
      <w:r w:rsidRPr="00A075B4">
        <w:rPr>
          <w:rFonts w:ascii="TH SarabunPSK" w:hAnsi="TH SarabunPSK" w:cs="TH SarabunPSK" w:hint="cs"/>
          <w:color w:val="000000" w:themeColor="text1"/>
        </w:rPr>
        <w:t xml:space="preserve"> Background) เพื่อบังคับให้โมเดลใส่ใจความถูกต้องของรูปทรงตับและถุงน้ำดีอย่างสูงสุด</w:t>
      </w:r>
    </w:p>
    <w:p w14:paraId="07428402" w14:textId="77777777" w:rsidR="00A865E8" w:rsidRPr="00A075B4" w:rsidRDefault="00000000">
      <w:pPr>
        <w:keepNext/>
        <w:spacing w:before="160" w:after="80"/>
        <w:rPr>
          <w:rFonts w:ascii="TH SarabunPSK" w:hAnsi="TH SarabunPSK" w:cs="TH SarabunPSK" w:hint="cs"/>
          <w:color w:val="000000" w:themeColor="text1"/>
        </w:rPr>
      </w:pPr>
      <w:r w:rsidRPr="00A075B4">
        <w:rPr>
          <w:rFonts w:ascii="TH SarabunPSK" w:hAnsi="TH SarabunPSK" w:cs="TH SarabunPSK" w:hint="cs"/>
          <w:color w:val="000000" w:themeColor="text1"/>
        </w:rPr>
        <w:t>5.3 โมเดลประเมินระยะพังผืดในตับ (FibrosisNet 5-Fold Stratified Ensemble: F0–F4)</w:t>
      </w:r>
    </w:p>
    <w:p w14:paraId="1DCF03F1"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การวินิจฉัยพังผืดในตับตามมาตรฐาน METAVIR (F0, F1, F2, F3, F4) มักถูกมองเป็นโจทย์ Classification ทั่วไป แต่ในความเป็นจริง ความแข็งของเนื้อตับ (Liver Stiffness วัดเป็นหน่วย kPa ด้วย Transient Elastography: TE) เป็น 'ปริมาณสเกลาร์ต่อเนื่อง' การจัดกลุ่มแบบหยาบจะสูญเสียข้อมูลสำคัญ (เช่น ผู้ป่วย F0 ที่ 2.4 kPa กับ 5.9 kPa มีความเสี่ยงต่างกันมาก แต่ผู้ป่วย F0 ที่ 5.9 kPa กับ F1 ที่ 6.0 kPa แทบไม่ต่างกันในทางชีวภาพ)</w:t>
      </w:r>
    </w:p>
    <w:p w14:paraId="29D6E568" w14:textId="534362DF" w:rsidR="00A865E8" w:rsidRPr="00A075B4" w:rsidRDefault="00000000">
      <w:pPr>
        <w:spacing w:after="120"/>
        <w:rPr>
          <w:rFonts w:ascii="TH SarabunPSK" w:hAnsi="TH SarabunPSK" w:cs="TH SarabunPSK" w:hint="cs"/>
          <w:color w:val="000000" w:themeColor="text1"/>
        </w:rPr>
      </w:pPr>
      <w:proofErr w:type="spellStart"/>
      <w:r w:rsidRPr="00A075B4">
        <w:rPr>
          <w:rFonts w:ascii="TH SarabunPSK" w:hAnsi="TH SarabunPSK" w:cs="TH SarabunPSK" w:hint="cs"/>
          <w:color w:val="000000" w:themeColor="text1"/>
        </w:rPr>
        <w:t>สถาปัตยกรรมและการออกแบบการเทรนของ</w:t>
      </w:r>
      <w:proofErr w:type="spellEnd"/>
      <w:r w:rsidRPr="00A075B4">
        <w:rPr>
          <w:rFonts w:ascii="TH SarabunPSK" w:hAnsi="TH SarabunPSK" w:cs="TH SarabunPSK" w:hint="cs"/>
          <w:color w:val="000000" w:themeColor="text1"/>
        </w:rPr>
        <w:t xml:space="preserve"> </w:t>
      </w:r>
      <w:proofErr w:type="spellStart"/>
      <w:r w:rsidRPr="00A075B4">
        <w:rPr>
          <w:rFonts w:ascii="TH SarabunPSK" w:hAnsi="TH SarabunPSK" w:cs="TH SarabunPSK" w:hint="cs"/>
          <w:color w:val="000000" w:themeColor="text1"/>
        </w:rPr>
        <w:t>FibrosisNet</w:t>
      </w:r>
      <w:proofErr w:type="spellEnd"/>
      <w:r w:rsidRPr="00A075B4">
        <w:rPr>
          <w:rFonts w:ascii="TH SarabunPSK" w:hAnsi="TH SarabunPSK" w:cs="TH SarabunPSK" w:hint="cs"/>
          <w:color w:val="000000" w:themeColor="text1"/>
        </w:rPr>
        <w:t>:</w:t>
      </w:r>
    </w:p>
    <w:p w14:paraId="342B8ABE"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Backbone &amp; </w:t>
      </w:r>
      <w:proofErr w:type="gramStart"/>
      <w:r w:rsidRPr="00A075B4">
        <w:rPr>
          <w:rFonts w:ascii="TH SarabunPSK" w:hAnsi="TH SarabunPSK" w:cs="TH SarabunPSK" w:hint="cs"/>
          <w:color w:val="000000" w:themeColor="text1"/>
        </w:rPr>
        <w:t>Multi-View Fusion</w:t>
      </w:r>
      <w:proofErr w:type="gramEnd"/>
      <w:r w:rsidRPr="00A075B4">
        <w:rPr>
          <w:rFonts w:ascii="TH SarabunPSK" w:hAnsi="TH SarabunPSK" w:cs="TH SarabunPSK" w:hint="cs"/>
          <w:color w:val="000000" w:themeColor="text1"/>
        </w:rPr>
        <w:t>: ใช้ ResNet-18 และ ConvNeXt-Tiny เป็น Backbone ดึงคุณลักษณะจากภาพที่ถูก Mask ตัดเฉพาะเนื้อตับ (Liver-Mask Cropped Parenchyma) พร้อม View Embedding เพื่อรับรู้มุมมองการตรวจ (เช่น FPH, GBH, LHA, RH)</w:t>
      </w:r>
    </w:p>
    <w:p w14:paraId="05766B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lastRenderedPageBreak/>
        <w:t>Primary Head - Log Stiffness Regression: ทำหน้าที่ทำนายค่า log(kPa) ต่อเนื่อง ซึ่งช่วยให้ผู้ป่วยทั้ง 730 รายส่งสัญญาณการเรียนรู้ได้อย่างมีประสิทธิภาพ แม้ในกลุ่ม F3 ที่มีจำนวนตัวอย่างน้อย</w:t>
      </w:r>
    </w:p>
    <w:p w14:paraId="2AFB44A4"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Auxiliary Head 1 - CORN Ordinal Classification: ทำหน้าที่สร้างขอบเขตการตัดสินใจตามเกณฑ์ทางคลินิก (Cutoffs: 6.0, 7.1, 8.7, 10.3 kPa) โดยทำนายความน่าจะเป็นตามลำดับขั้น </w:t>
      </w:r>
      <w:proofErr w:type="gramStart"/>
      <w:r w:rsidRPr="00A075B4">
        <w:rPr>
          <w:rFonts w:ascii="TH SarabunPSK" w:hAnsi="TH SarabunPSK" w:cs="TH SarabunPSK" w:hint="cs"/>
          <w:color w:val="000000" w:themeColor="text1"/>
        </w:rPr>
        <w:t>P(</w:t>
      </w:r>
      <w:proofErr w:type="gramEnd"/>
      <w:r w:rsidRPr="00A075B4">
        <w:rPr>
          <w:rFonts w:ascii="TH SarabunPSK" w:hAnsi="TH SarabunPSK" w:cs="TH SarabunPSK" w:hint="cs"/>
          <w:color w:val="000000" w:themeColor="text1"/>
        </w:rPr>
        <w:t xml:space="preserve">stage ≥ F1), </w:t>
      </w:r>
      <w:proofErr w:type="gramStart"/>
      <w:r w:rsidRPr="00A075B4">
        <w:rPr>
          <w:rFonts w:ascii="TH SarabunPSK" w:hAnsi="TH SarabunPSK" w:cs="TH SarabunPSK" w:hint="cs"/>
          <w:color w:val="000000" w:themeColor="text1"/>
        </w:rPr>
        <w:t>P(</w:t>
      </w:r>
      <w:proofErr w:type="gramEnd"/>
      <w:r w:rsidRPr="00A075B4">
        <w:rPr>
          <w:rFonts w:ascii="TH SarabunPSK" w:hAnsi="TH SarabunPSK" w:cs="TH SarabunPSK" w:hint="cs"/>
          <w:color w:val="000000" w:themeColor="text1"/>
        </w:rPr>
        <w:t xml:space="preserve">stage ≥ F2), </w:t>
      </w:r>
      <w:proofErr w:type="gramStart"/>
      <w:r w:rsidRPr="00A075B4">
        <w:rPr>
          <w:rFonts w:ascii="TH SarabunPSK" w:hAnsi="TH SarabunPSK" w:cs="TH SarabunPSK" w:hint="cs"/>
          <w:color w:val="000000" w:themeColor="text1"/>
        </w:rPr>
        <w:t>P(</w:t>
      </w:r>
      <w:proofErr w:type="gramEnd"/>
      <w:r w:rsidRPr="00A075B4">
        <w:rPr>
          <w:rFonts w:ascii="TH SarabunPSK" w:hAnsi="TH SarabunPSK" w:cs="TH SarabunPSK" w:hint="cs"/>
          <w:color w:val="000000" w:themeColor="text1"/>
        </w:rPr>
        <w:t>stage ≥ F3), P(F4) ซึ่งรับประกันว่าค่าความน่าจะเป็นสะสมจะลดหลั่นอย่างสมเหตุสมผลทางคณิตศาสตร์</w:t>
      </w:r>
    </w:p>
    <w:p w14:paraId="04851B80"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Auxiliary Head 2 - Masked SWE Supervision: ดึงสัญญาณชี้นำเสริมจากการตรวจ 2D Shear Wave Elastography (2D-SWE) ในระหว่างการเทรน (Multi-Task Learning) โดยทำการ Mask ข้ามแถวที่ไม่มีผลตรวจ SWE</w:t>
      </w:r>
    </w:p>
    <w:p w14:paraId="017CC1C4"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Model EMA &amp; Test-Time Augmentation: การเฉลี่ยน้ำหนักโมเดลแบบ Exponential Moving Average (EMA) เพื่อป้องกันไม่ให้น้ำหนักแกว่งจากการอัปเดต และใช้ Test-Time Augmentation (TTA) เฉลี่ยผลการทำนายแบบ Horizontal Flip ในขั้นตอนการทดสอบ</w:t>
      </w:r>
    </w:p>
    <w:tbl>
      <w:tblPr>
        <w:tblStyle w:val="TableGrid"/>
        <w:tblW w:w="0" w:type="auto"/>
        <w:tblLook w:val="04A0" w:firstRow="1" w:lastRow="0" w:firstColumn="1" w:lastColumn="0" w:noHBand="0" w:noVBand="1"/>
      </w:tblPr>
      <w:tblGrid>
        <w:gridCol w:w="3117"/>
        <w:gridCol w:w="3117"/>
        <w:gridCol w:w="3116"/>
      </w:tblGrid>
      <w:tr w:rsidR="00A075B4" w:rsidRPr="00A075B4" w14:paraId="5D0B0FA4" w14:textId="77777777" w:rsidTr="00A075B4">
        <w:tc>
          <w:tcPr>
            <w:tcW w:w="3120" w:type="dxa"/>
          </w:tcPr>
          <w:p w14:paraId="2A221B86"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องค์ประกอบ Loss</w:t>
            </w:r>
          </w:p>
        </w:tc>
        <w:tc>
          <w:tcPr>
            <w:tcW w:w="3120" w:type="dxa"/>
          </w:tcPr>
          <w:p w14:paraId="7986BAAB"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ฟังก์ชันทางคณิตศาสตร์</w:t>
            </w:r>
          </w:p>
        </w:tc>
        <w:tc>
          <w:tcPr>
            <w:tcW w:w="3120" w:type="dxa"/>
          </w:tcPr>
          <w:p w14:paraId="40B43968"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น้ำหนัก (Loss Weight)</w:t>
            </w:r>
          </w:p>
        </w:tc>
      </w:tr>
      <w:tr w:rsidR="00A075B4" w:rsidRPr="00A075B4" w14:paraId="1D9D9E31" w14:textId="77777777" w:rsidTr="00A075B4">
        <w:tc>
          <w:tcPr>
            <w:tcW w:w="3120" w:type="dxa"/>
          </w:tcPr>
          <w:p w14:paraId="0C63DDA6"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Regression Loss</w:t>
            </w:r>
          </w:p>
        </w:tc>
        <w:tc>
          <w:tcPr>
            <w:tcW w:w="3120" w:type="dxa"/>
          </w:tcPr>
          <w:p w14:paraId="6E3ADF53"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Huber Loss (Smooth L1) บน log(kPa) ด้วย delta = 0.3</w:t>
            </w:r>
          </w:p>
        </w:tc>
        <w:tc>
          <w:tcPr>
            <w:tcW w:w="3120" w:type="dxa"/>
          </w:tcPr>
          <w:p w14:paraId="639671EE"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1.00 (Primary Loss)</w:t>
            </w:r>
          </w:p>
        </w:tc>
      </w:tr>
      <w:tr w:rsidR="00A075B4" w:rsidRPr="00A075B4" w14:paraId="2F9E9D08" w14:textId="77777777" w:rsidTr="00A075B4">
        <w:tc>
          <w:tcPr>
            <w:tcW w:w="3120" w:type="dxa"/>
          </w:tcPr>
          <w:p w14:paraId="42CA7267"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Ordinal Loss</w:t>
            </w:r>
          </w:p>
        </w:tc>
        <w:tc>
          <w:tcPr>
            <w:tcW w:w="3120" w:type="dxa"/>
          </w:tcPr>
          <w:p w14:paraId="6B93A086"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Conditional Ordinal Regression (CORN) Binary Cross Entropy</w:t>
            </w:r>
          </w:p>
        </w:tc>
        <w:tc>
          <w:tcPr>
            <w:tcW w:w="3120" w:type="dxa"/>
          </w:tcPr>
          <w:p w14:paraId="19821CFC"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0.30 (Auxiliary)</w:t>
            </w:r>
          </w:p>
        </w:tc>
      </w:tr>
      <w:tr w:rsidR="00A075B4" w:rsidRPr="00A075B4" w14:paraId="35EE62F3" w14:textId="77777777" w:rsidTr="00A075B4">
        <w:tc>
          <w:tcPr>
            <w:tcW w:w="3120" w:type="dxa"/>
          </w:tcPr>
          <w:p w14:paraId="72FAF932"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Elastography Loss</w:t>
            </w:r>
          </w:p>
        </w:tc>
        <w:tc>
          <w:tcPr>
            <w:tcW w:w="3120" w:type="dxa"/>
          </w:tcPr>
          <w:p w14:paraId="2136E355"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Masked Cross-Entropy บนระยะ SWE Stages</w:t>
            </w:r>
          </w:p>
        </w:tc>
        <w:tc>
          <w:tcPr>
            <w:tcW w:w="3120" w:type="dxa"/>
          </w:tcPr>
          <w:p w14:paraId="51BC0A92"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0.10 (Auxiliary)</w:t>
            </w:r>
          </w:p>
        </w:tc>
      </w:tr>
    </w:tbl>
    <w:p w14:paraId="1556CAF0" w14:textId="77777777" w:rsidR="00A865E8" w:rsidRPr="00A075B4" w:rsidRDefault="00A865E8">
      <w:pPr>
        <w:spacing w:after="120"/>
        <w:rPr>
          <w:rFonts w:ascii="TH SarabunPSK" w:hAnsi="TH SarabunPSK" w:cs="TH SarabunPSK" w:hint="cs"/>
          <w:color w:val="000000" w:themeColor="text1"/>
        </w:rPr>
      </w:pPr>
    </w:p>
    <w:p w14:paraId="3DB417AE" w14:textId="77777777" w:rsidR="00A865E8" w:rsidRPr="00A075B4" w:rsidRDefault="00000000">
      <w:pPr>
        <w:keepNext/>
        <w:spacing w:before="160" w:after="80"/>
        <w:rPr>
          <w:rFonts w:ascii="TH SarabunPSK" w:hAnsi="TH SarabunPSK" w:cs="TH SarabunPSK" w:hint="cs"/>
          <w:color w:val="000000" w:themeColor="text1"/>
        </w:rPr>
      </w:pPr>
      <w:r w:rsidRPr="00A075B4">
        <w:rPr>
          <w:rFonts w:ascii="TH SarabunPSK" w:hAnsi="TH SarabunPSK" w:cs="TH SarabunPSK" w:hint="cs"/>
          <w:color w:val="000000" w:themeColor="text1"/>
        </w:rPr>
        <w:t>5.4 โมเดลตรวจจับและระบุรอยโรคเฉพาะที่ (Focal Lesion Detection: YOLOv8 7-Class)</w:t>
      </w:r>
    </w:p>
    <w:p w14:paraId="40FD346B"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รอยโรคในตับจากการตรวจอัลตราซาวนด์มีความหลากหลายทั้งชนิดที่ไม่เป็นอันตราย (Benign) และเนื้องอกร้ายแรง (Malignant) ทีมงานได้ฝึกสอนโมเดล YOLOv8s (Small) และ YOLO11s เพื่อตรวจจับและจำแนก 7 คลาสสำคัญ ได้แก่:</w:t>
      </w:r>
    </w:p>
    <w:p w14:paraId="4CD0CE47"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คลาสรอยโรค: 1. Hemangioma (เนื้องอกหลอดเลือด), 2. Hepatic Cyst (ถุงน้ำในตับ), 3. Calcification (หินปูน), 4. Metastasis (มะเร็งแพร่กระจาย), 5. Hepatocellular Carcinoma: HCC (มะเร็งเซลล์ตับ), 6. Cholangiocarcinoma: CCA (มะเร็งท่อน้ำดี), 7. Focal Fatty Change / Sparing: FFC/FFS (กลุ่มไขมันสะสมหรือเว้นเฉพาะที่)</w:t>
      </w:r>
    </w:p>
    <w:p w14:paraId="018658BB"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ไฮเปอร์พารามิเตอร์: ใช้ Anchor-free Decoupled Head ร่วมกับ CIoU / DFL (Distribution Focal Loss) และการเทรนแบบ </w:t>
      </w:r>
      <w:proofErr w:type="gramStart"/>
      <w:r w:rsidRPr="00A075B4">
        <w:rPr>
          <w:rFonts w:ascii="TH SarabunPSK" w:hAnsi="TH SarabunPSK" w:cs="TH SarabunPSK" w:hint="cs"/>
          <w:color w:val="000000" w:themeColor="text1"/>
        </w:rPr>
        <w:t>Multi-Scale</w:t>
      </w:r>
      <w:proofErr w:type="gramEnd"/>
      <w:r w:rsidRPr="00A075B4">
        <w:rPr>
          <w:rFonts w:ascii="TH SarabunPSK" w:hAnsi="TH SarabunPSK" w:cs="TH SarabunPSK" w:hint="cs"/>
          <w:color w:val="000000" w:themeColor="text1"/>
        </w:rPr>
        <w:t xml:space="preserve"> (640x640) เป็นเวลา 100 Epochs ด้วย Optimizer AdamW (lr=1e-3, Cosine Annealing Scheduler)</w:t>
      </w:r>
    </w:p>
    <w:p w14:paraId="1A06B6BB"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Spatial Containment Guardrail: เนื่องจากเงาของกระดูกซี่โครง (Rib Shadow) ก๊าซในกระเพาะอาหาร หรือหลอดเลือดนอกตับ อาจมีลักษณะสะท้อนคลื่นคล้ายรอยโรค ระบบจึงบังคับใช้กฎ Spatial Containment: Bounding Box จะต้องมีจุดศูนย์กลางอยู่ภายใน Liver Mask หรือมีพื้นที่ทับซ้อนกับตับไม่น้อยกว่า 25% หากอยู่นอกตับ ระบบจะตัดทิ้งทันที ช่วยลด False Positive ได้อย่างเด็ดขาด</w:t>
      </w:r>
    </w:p>
    <w:p w14:paraId="0E9CF1A4" w14:textId="77777777" w:rsidR="00A865E8" w:rsidRPr="00A075B4" w:rsidRDefault="00000000">
      <w:pPr>
        <w:keepNext/>
        <w:spacing w:before="160" w:after="80"/>
        <w:rPr>
          <w:rFonts w:ascii="TH SarabunPSK" w:hAnsi="TH SarabunPSK" w:cs="TH SarabunPSK" w:hint="cs"/>
          <w:color w:val="000000" w:themeColor="text1"/>
        </w:rPr>
      </w:pPr>
      <w:r w:rsidRPr="00A075B4">
        <w:rPr>
          <w:rFonts w:ascii="TH SarabunPSK" w:hAnsi="TH SarabunPSK" w:cs="TH SarabunPSK" w:hint="cs"/>
          <w:color w:val="000000" w:themeColor="text1"/>
        </w:rPr>
        <w:t>5.5 การประเมินภาวะไขมันพอกตับและความเสี่ยงพยาธิใบไม้ตับ (Steatosis &amp; CCA Risk Specialists)</w:t>
      </w:r>
    </w:p>
    <w:p w14:paraId="35EEC70E"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Steatosis Attenuation Specialist (S0–S3): วิเคราะห์การลดทอนของลำคลื่นเสียงในแนวลึก (Beam Attenuation Ratio = I_near / I_far) ภายใน Liver Mask ควบคู่กับความสว่างเฉลี่ยของเนื้อตับ (Hepatic Brightness) และการเปรียบเทียบกับเนื้อไต (Hepatorenal Index) เพื่อจัดระยะความรุนแรง S0, S1, S2, S3 ได้อย่างแม่นยำและอิงหลักฟิสิกส์คลื่นเสียง</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Liver Fluke &amp; CCA Risk Specialist: วิเคราะห์การหนาตัวของเยื่อบุรอบท่อน้ำดีในตับ (Periportal Echo-Texture / Cuffing Index) ผสานรวมกับประวัติเสี่ยงของผู้ป่วย (เช่น ประวัติการรับประทานปลาน้ำจืดดิบ, ประวัติการรักษาพยาธิใบไม้ตับ, และประวัติมะเร็งในครอบครัว) เพื่อจำแนกความเสี่ยงออกเป็น Negative, Possible, หรือ Probable</w:t>
      </w:r>
    </w:p>
    <w:p w14:paraId="0E9CF1A4" w14:textId="77777777" w:rsidR="00A865E8" w:rsidRPr="00A075B4" w:rsidRDefault="00000000">
      <w:pPr>
        <w:keepNext/>
        <w:spacing w:before="160"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ชุดข้อมูลอ้างอิงสำหรับพัฒนาโมเดลไขมันพอกตับ (Hepatic Steatosis Dataset: S0–S3)</w:t>
      </w:r>
    </w:p>
    <w:p w14:paraId="6CD564A0"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เพื่อยกระดับโมดูลไขมันพอกตับจากการวิเคราะห์เชิงกฎ (Rule-based Acoustic Analysis) ไปสู่โมเดลที่เรียนรู้จากผลชิ้นเนื้อจริง ทีมงานได้จัดหาและตรวจสอบชุดข้อมูลอ้างอิงระดับสากลที่มี Ground Truth เป็นผลตรวจ Liver Biopsy รายผู้ป่วย ดังรายละเอียดต่อไปนี้:</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ชื่อชุดข้อมูลและแหล่งเผยแพร่: Dataset of B-mode fatty liver ultrasound images (Byra M. et al., IJCARS 2018) เผยแพร่บน Zenodo DOI 10.5281/zenodo.1009146 ไฟล์ dataset_liver_bmodes_steatosis_assessment_IJCARS.mat ตรวจสอบค่า MD5 ได้ c87da28a498eae0f0874408c7ac92524 ตรงกับระเบียนต้นทาง</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Ground Truth และประชากร: ใช้ค่าเปอร์เซ็นต์เซลล์ตับที่มีไขมันสะสม (% Hepatocytes with Steatosis) จาก Wedge Liver Biopsy รายผู้ป่วย ช่วง 0–85% เก็บภาพจากผู้ป่วยโรคอ้วนรุนแรง 55 รายในประเทศโปแลนด์ ด้วยเครื่อง GE Vivid E9 หัวตรวจ Sector 2.5 MHz จึงไม่ใช่ประชากรไทยและต้องมี External Validation กับผู้ป่วยไทยก่อนใช้งานทางคลินิก</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โครงสร้างข้อมูล: ผู้ป่วยแต่ละรายมี 10 เฟรมต่อเนื่อง ขนาดภาพ 434 x 636 พิกเซล แบบ Grayscale 8-bit เมื่อตรวจสอบด้วยค่า Hash พบภาพซ้ำตรงกัน 6 ภาพ ซึ่งทั้งหมดเป็นการซ้ำภายในผู้ป่วยคนเดียวกัน ไม่ข้ามผู้ป่วย จึงไม่ขัดกับกฎ Zero Cross-Patient Leakage ในข้อ 3</w:t>
      </w:r>
    </w:p>
    <w:p w14:paraId="6CD564A0" w14:textId="77777777" w:rsidR="00A865E8" w:rsidRPr="00A075B4" w:rsidRDefault="00000000">
      <w:pPr>
        <w:keepNext/>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จำนวนผู้ป่วยและภาพจำแนกตามระดับความรุนแรง S0–S3 (ตรวจนับจากไฟล์ต้นฉบับโดยตรง):</w:t>
      </w:r>
    </w:p>
    <w:tbl>
      <w:tblPr>
        <w:tblStyle w:val="TableGrid"/>
        <w:tblW w:w="0" w:type="auto"/>
        <w:tblLook w:val="04A0" w:firstRow="1" w:lastRow="0" w:firstColumn="1" w:lastColumn="0" w:noHBand="0" w:noVBand="1"/>
      </w:tblPr>
      <w:tblGrid>
        <w:gridCol w:w="3600"/>
        <w:gridCol w:w="1750"/>
        <w:gridCol w:w="1950"/>
        <w:gridCol w:w="2050"/>
      </w:tblGrid>
      <w:tr>
        <w:trPr>
          <w:cantSplit/>
          <w:tblHeader w:val="true"/>
        </w:trPr>
        <w:tc>
          <w:tcPr>
            <w:tcW w:w="3600" w:type="dxa"/>
          </w:tcPr>
          <w:p>
            <w:pPr>
              <w:keepNext/>
            </w:pPr>
            <w:r>
              <w:rPr>
                <w:rFonts w:ascii="TH SarabunPSK" w:hAnsi="TH SarabunPSK" w:cs="TH SarabunPSK" w:hint="cs"/>
                <w:color w:val="000000" w:themeColor="text1"/>
              </w:rPr>
              <w:t>ระดับความรุนแรง (เกณฑ์ Biopsy Fat%)</w:t>
            </w:r>
          </w:p>
        </w:tc>
        <w:tc>
          <w:tcPr>
            <w:tcW w:w="1750" w:type="dxa"/>
          </w:tcPr>
          <w:p>
            <w:pPr>
              <w:keepNext/>
            </w:pPr>
            <w:r>
              <w:rPr>
                <w:rFonts w:ascii="TH SarabunPSK" w:hAnsi="TH SarabunPSK" w:cs="TH SarabunPSK" w:hint="cs"/>
                <w:color w:val="000000" w:themeColor="text1"/>
              </w:rPr>
              <w:t>จำนวนผู้ป่วย (ราย)</w:t>
            </w:r>
          </w:p>
        </w:tc>
        <w:tc>
          <w:tcPr>
            <w:tcW w:w="1950" w:type="dxa"/>
          </w:tcPr>
          <w:p>
            <w:pPr>
              <w:keepNext/>
            </w:pPr>
            <w:r>
              <w:rPr>
                <w:rFonts w:ascii="TH SarabunPSK" w:hAnsi="TH SarabunPSK" w:cs="TH SarabunPSK" w:hint="cs"/>
                <w:color w:val="000000" w:themeColor="text1"/>
              </w:rPr>
              <w:t>ภาพทั้งหมด (เฟรม)</w:t>
            </w:r>
          </w:p>
        </w:tc>
        <w:tc>
          <w:tcPr>
            <w:tcW w:w="2050" w:type="dxa"/>
          </w:tcPr>
          <w:p>
            <w:pPr>
              <w:keepNext/>
            </w:pPr>
            <w:r>
              <w:rPr>
                <w:rFonts w:ascii="TH SarabunPSK" w:hAnsi="TH SarabunPSK" w:cs="TH SarabunPSK" w:hint="cs"/>
                <w:color w:val="000000" w:themeColor="text1"/>
              </w:rPr>
              <w:t>ภาพไม่ซ้ำ (Unique)</w:t>
            </w:r>
          </w:p>
        </w:tc>
      </w:tr>
      <w:tr>
        <w:trPr>
          <w:cantSplit/>
        </w:trPr>
        <w:tc>
          <w:tcPr>
            <w:tcW w:w="3600" w:type="dxa"/>
          </w:tcPr>
          <w:p>
            <w:pPr>
              <w:keepNext/>
            </w:pPr>
            <w:r>
              <w:rPr>
                <w:rFonts w:ascii="TH SarabunPSK" w:hAnsi="TH SarabunPSK" w:cs="TH SarabunPSK" w:hint="cs"/>
                <w:color w:val="000000" w:themeColor="text1"/>
              </w:rPr>
              <w:t>S0 – ไม่มีไขมันพอกตับ (น้อยกว่า 5%)</w:t>
            </w:r>
          </w:p>
        </w:tc>
        <w:tc>
          <w:tcPr>
            <w:tcW w:w="1750" w:type="dxa"/>
          </w:tcPr>
          <w:p>
            <w:pPr>
              <w:keepNext/>
            </w:pPr>
            <w:r>
              <w:rPr>
                <w:rFonts w:ascii="TH SarabunPSK" w:hAnsi="TH SarabunPSK" w:cs="TH SarabunPSK" w:hint="cs"/>
                <w:color w:val="000000" w:themeColor="text1"/>
              </w:rPr>
              <w:t>17</w:t>
            </w:r>
          </w:p>
        </w:tc>
        <w:tc>
          <w:tcPr>
            <w:tcW w:w="1950" w:type="dxa"/>
          </w:tcPr>
          <w:p>
            <w:pPr>
              <w:keepNext/>
            </w:pPr>
            <w:r>
              <w:rPr>
                <w:rFonts w:ascii="TH SarabunPSK" w:hAnsi="TH SarabunPSK" w:cs="TH SarabunPSK" w:hint="cs"/>
                <w:color w:val="000000" w:themeColor="text1"/>
              </w:rPr>
              <w:t>170</w:t>
            </w:r>
          </w:p>
        </w:tc>
        <w:tc>
          <w:tcPr>
            <w:tcW w:w="2050" w:type="dxa"/>
          </w:tcPr>
          <w:p>
            <w:pPr>
              <w:keepNext/>
            </w:pPr>
            <w:r>
              <w:rPr>
                <w:rFonts w:ascii="TH SarabunPSK" w:hAnsi="TH SarabunPSK" w:cs="TH SarabunPSK" w:hint="cs"/>
                <w:color w:val="000000" w:themeColor="text1"/>
              </w:rPr>
              <w:t>168</w:t>
            </w:r>
          </w:p>
        </w:tc>
      </w:tr>
      <w:tr>
        <w:trPr>
          <w:cantSplit/>
        </w:trPr>
        <w:tc>
          <w:tcPr>
            <w:tcW w:w="3600" w:type="dxa"/>
          </w:tcPr>
          <w:p>
            <w:pPr>
              <w:keepNext/>
            </w:pPr>
            <w:r>
              <w:rPr>
                <w:rFonts w:ascii="TH SarabunPSK" w:hAnsi="TH SarabunPSK" w:cs="TH SarabunPSK" w:hint="cs"/>
                <w:color w:val="000000" w:themeColor="text1"/>
              </w:rPr>
              <w:t>S1 – ระดับเริ่มต้น (5–33%)</w:t>
            </w:r>
          </w:p>
        </w:tc>
        <w:tc>
          <w:tcPr>
            <w:tcW w:w="1750" w:type="dxa"/>
          </w:tcPr>
          <w:p>
            <w:pPr>
              <w:keepNext/>
            </w:pPr>
            <w:r>
              <w:rPr>
                <w:rFonts w:ascii="TH SarabunPSK" w:hAnsi="TH SarabunPSK" w:cs="TH SarabunPSK" w:hint="cs"/>
                <w:color w:val="000000" w:themeColor="text1"/>
              </w:rPr>
              <w:t>20</w:t>
            </w:r>
          </w:p>
        </w:tc>
        <w:tc>
          <w:tcPr>
            <w:tcW w:w="1950" w:type="dxa"/>
          </w:tcPr>
          <w:p>
            <w:pPr>
              <w:keepNext/>
            </w:pPr>
            <w:r>
              <w:rPr>
                <w:rFonts w:ascii="TH SarabunPSK" w:hAnsi="TH SarabunPSK" w:cs="TH SarabunPSK" w:hint="cs"/>
                <w:color w:val="000000" w:themeColor="text1"/>
              </w:rPr>
              <w:t>200</w:t>
            </w:r>
          </w:p>
        </w:tc>
        <w:tc>
          <w:tcPr>
            <w:tcW w:w="2050" w:type="dxa"/>
          </w:tcPr>
          <w:p>
            <w:pPr>
              <w:keepNext/>
            </w:pPr>
            <w:r>
              <w:rPr>
                <w:rFonts w:ascii="TH SarabunPSK" w:hAnsi="TH SarabunPSK" w:cs="TH SarabunPSK" w:hint="cs"/>
                <w:color w:val="000000" w:themeColor="text1"/>
              </w:rPr>
              <w:t>200</w:t>
            </w:r>
          </w:p>
        </w:tc>
      </w:tr>
      <w:tr>
        <w:trPr>
          <w:cantSplit/>
        </w:trPr>
        <w:tc>
          <w:tcPr>
            <w:tcW w:w="3600" w:type="dxa"/>
          </w:tcPr>
          <w:p>
            <w:pPr>
              <w:keepNext/>
            </w:pPr>
            <w:r>
              <w:rPr>
                <w:rFonts w:ascii="TH SarabunPSK" w:hAnsi="TH SarabunPSK" w:cs="TH SarabunPSK" w:hint="cs"/>
                <w:color w:val="000000" w:themeColor="text1"/>
              </w:rPr>
              <w:t>S2 – ระดับปานกลาง (มากกว่า 33–66%)</w:t>
            </w:r>
          </w:p>
        </w:tc>
        <w:tc>
          <w:tcPr>
            <w:tcW w:w="1750" w:type="dxa"/>
          </w:tcPr>
          <w:p>
            <w:pPr>
              <w:keepNext/>
            </w:pPr>
            <w:r>
              <w:rPr>
                <w:rFonts w:ascii="TH SarabunPSK" w:hAnsi="TH SarabunPSK" w:cs="TH SarabunPSK" w:hint="cs"/>
                <w:color w:val="000000" w:themeColor="text1"/>
              </w:rPr>
              <w:t>8</w:t>
            </w:r>
          </w:p>
        </w:tc>
        <w:tc>
          <w:tcPr>
            <w:tcW w:w="1950" w:type="dxa"/>
          </w:tcPr>
          <w:p>
            <w:pPr>
              <w:keepNext/>
            </w:pPr>
            <w:r>
              <w:rPr>
                <w:rFonts w:ascii="TH SarabunPSK" w:hAnsi="TH SarabunPSK" w:cs="TH SarabunPSK" w:hint="cs"/>
                <w:color w:val="000000" w:themeColor="text1"/>
              </w:rPr>
              <w:t>80</w:t>
            </w:r>
          </w:p>
        </w:tc>
        <w:tc>
          <w:tcPr>
            <w:tcW w:w="2050" w:type="dxa"/>
          </w:tcPr>
          <w:p>
            <w:pPr>
              <w:keepNext/>
            </w:pPr>
            <w:r>
              <w:rPr>
                <w:rFonts w:ascii="TH SarabunPSK" w:hAnsi="TH SarabunPSK" w:cs="TH SarabunPSK" w:hint="cs"/>
                <w:color w:val="000000" w:themeColor="text1"/>
              </w:rPr>
              <w:t>76</w:t>
            </w:r>
          </w:p>
        </w:tc>
      </w:tr>
      <w:tr>
        <w:trPr>
          <w:cantSplit/>
        </w:trPr>
        <w:tc>
          <w:tcPr>
            <w:tcW w:w="3600" w:type="dxa"/>
          </w:tcPr>
          <w:p>
            <w:pPr>
              <w:keepNext/>
            </w:pPr>
            <w:r>
              <w:rPr>
                <w:rFonts w:ascii="TH SarabunPSK" w:hAnsi="TH SarabunPSK" w:cs="TH SarabunPSK" w:hint="cs"/>
                <w:color w:val="000000" w:themeColor="text1"/>
              </w:rPr>
              <w:t>S3 – ระดับรุนแรง (มากกว่า 66%)</w:t>
            </w:r>
          </w:p>
        </w:tc>
        <w:tc>
          <w:tcPr>
            <w:tcW w:w="1750" w:type="dxa"/>
          </w:tcPr>
          <w:p>
            <w:pPr>
              <w:keepNext/>
            </w:pPr>
            <w:r>
              <w:rPr>
                <w:rFonts w:ascii="TH SarabunPSK" w:hAnsi="TH SarabunPSK" w:cs="TH SarabunPSK" w:hint="cs"/>
                <w:color w:val="000000" w:themeColor="text1"/>
              </w:rPr>
              <w:t>10</w:t>
            </w:r>
          </w:p>
        </w:tc>
        <w:tc>
          <w:tcPr>
            <w:tcW w:w="1950" w:type="dxa"/>
          </w:tcPr>
          <w:p>
            <w:pPr>
              <w:keepNext/>
            </w:pPr>
            <w:r>
              <w:rPr>
                <w:rFonts w:ascii="TH SarabunPSK" w:hAnsi="TH SarabunPSK" w:cs="TH SarabunPSK" w:hint="cs"/>
                <w:color w:val="000000" w:themeColor="text1"/>
              </w:rPr>
              <w:t>100</w:t>
            </w:r>
          </w:p>
        </w:tc>
        <w:tc>
          <w:tcPr>
            <w:tcW w:w="2050" w:type="dxa"/>
          </w:tcPr>
          <w:p>
            <w:pPr>
              <w:keepNext/>
            </w:pPr>
            <w:r>
              <w:rPr>
                <w:rFonts w:ascii="TH SarabunPSK" w:hAnsi="TH SarabunPSK" w:cs="TH SarabunPSK" w:hint="cs"/>
                <w:color w:val="000000" w:themeColor="text1"/>
              </w:rPr>
              <w:t>100</w:t>
            </w:r>
          </w:p>
        </w:tc>
      </w:tr>
      <w:tr>
        <w:trPr>
          <w:cantSplit/>
        </w:trPr>
        <w:tc>
          <w:tcPr>
            <w:tcW w:w="3600" w:type="dxa"/>
          </w:tcPr>
          <w:p>
            <w:r>
              <w:rPr>
                <w:rFonts w:ascii="TH SarabunPSK" w:hAnsi="TH SarabunPSK" w:cs="TH SarabunPSK" w:hint="cs"/>
                <w:color w:val="000000" w:themeColor="text1"/>
              </w:rPr>
              <w:t>รวมทั้งหมด</w:t>
            </w:r>
          </w:p>
        </w:tc>
        <w:tc>
          <w:tcPr>
            <w:tcW w:w="1750" w:type="dxa"/>
          </w:tcPr>
          <w:p>
            <w:r>
              <w:rPr>
                <w:rFonts w:ascii="TH SarabunPSK" w:hAnsi="TH SarabunPSK" w:cs="TH SarabunPSK" w:hint="cs"/>
                <w:color w:val="000000" w:themeColor="text1"/>
              </w:rPr>
              <w:t>55</w:t>
            </w:r>
          </w:p>
        </w:tc>
        <w:tc>
          <w:tcPr>
            <w:tcW w:w="1950" w:type="dxa"/>
          </w:tcPr>
          <w:p>
            <w:r>
              <w:rPr>
                <w:rFonts w:ascii="TH SarabunPSK" w:hAnsi="TH SarabunPSK" w:cs="TH SarabunPSK" w:hint="cs"/>
                <w:color w:val="000000" w:themeColor="text1"/>
              </w:rPr>
              <w:t>550</w:t>
            </w:r>
          </w:p>
        </w:tc>
        <w:tc>
          <w:tcPr>
            <w:tcW w:w="2050" w:type="dxa"/>
          </w:tcPr>
          <w:p>
            <w:r>
              <w:rPr>
                <w:rFonts w:ascii="TH SarabunPSK" w:hAnsi="TH SarabunPSK" w:cs="TH SarabunPSK" w:hint="cs"/>
                <w:color w:val="000000" w:themeColor="text1"/>
              </w:rPr>
              <w:t>544</w:t>
            </w:r>
          </w:p>
        </w:tc>
      </w:tr>
    </w:tbl>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เกณฑ์การแปลงระดับความรุนแรง: S0 น้อยกว่า 5%, S1 ระหว่าง 5–33%, S2 มากกว่า 33% ถึง 66% และ S3 มากกว่า 66% ทั้งนี้ไฟล์ต้นฉบับกำหนดสถานะ Positive เมื่อค่าไขมันตั้งแต่ 5% ขึ้นไป ผู้ป่วยที่มีค่าไขมัน 5% พอดีจำนวน 1 รายจึงถูกจัดอยู่ในกลุ่ม S1</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การแบ่งข้อมูลสำหรับฝึกสอน: 10 เฟรมจากผู้ป่วยคนเดียวกันไม่ถือเป็นตัวอย่างอิสระทางสถิติ การแบ่ง Train / Validation / Test จึงต้องกระทำที่ระดับผู้ป่วย (Patient-level Split) เท่านั้น สอดคล้องกับกฎเหล็ก Zero Cross-Patient Leakage ของโครงการ</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สถานะการใช้งาน: ตัวเลขข้างต้นหมายถึงชุดข้อมูลที่จัดเตรียมพร้อมสำหรับการฝึกสอน (Training-ready Dataset) โดยอยู่ระหว่างการพัฒนา Training Pipeline เพื่อนำมาใช้กับโมดูล src/workflow/specialists/fatty_liver.py ในระยะถัดไป</w:t>
      </w:r>
    </w:p>
    <w:p w14:paraId="6CD564A0"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ช่องว่างด้านข้อมูลและเป้าหมายการจัดหาเพิ่มเติม (Data Gap Analysis): ชุดข้อมูลนี้เหมาะสำหรับเริ่มพัฒนาโมเดลด้วยเทคนิค Transfer Learning หรือการทำ Regression ค่าไขมันโดยตรง แต่จำนวนผู้ป่วยยังน้อยเกินไปสำหรับโมเดล S0–S3 ที่พร้อมใช้งานทางคลินิก โดยเฉพาะกลุ่ม S2 ที่มีเพียง 8 ราย และกลุ่ม S3 ที่มีเพียง 10 ราย ทีมงานจึงกำหนดเป้าหมายการจัดหาข้อมูลเพิ่มเติมดังนี้:</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กรณีเป้าหมาย 1,000 ผู้ป่วยครอบคลุมทุกระดับ S0–S3: ต้องจัดหาเพิ่มอีก 945 ผู้ป่วย ซึ่งเทียบเท่าประมาณ 9,450 เฟรม หากเก็บ 10 เฟรมต่อผู้ป่วยตาม Protocol เดิม</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กรณีเป้าหมาย 1,000 ผู้ป่วยเฉพาะกลุ่มที่มีภาวะไขมันพอกตับ (S1–S3): ต้องจัดหาเพิ่มอีก 962 ผู้ป่วย เนื่องจากปัจจุบันมีผู้ป่วยกลุ่ม S1–S3 เพียง 38 ราย (380 เฟรม) และกลุ่มควบคุม S0 อีก 17 ราย (170 เฟรม)</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ข้อควรระวังในการนับ: หน่วยนับที่ใช้กำหนดเป้าหมายต้องเป็นจำนวนผู้ป่วย ไม่ใช่จำนวนภาพ เพราะหลายเฟรมจากผู้ป่วยรายเดียวกัน ไม่ใช่ตัวอย่างอิสระ การรายงานเป็นจำนวนภาพจะทำให้ประเมินขนาดตัวอย่างสูงเกินจริงถึง 10 เท่า</w:t>
      </w:r>
    </w:p>
    <w:p w14:paraId="24573533"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ความจำเป็นด้าน External Validation: ต้องจัดหาชุดข้อมูลผู้ป่วยไทยจากโรงพยาบาลพันธมิตร (รพ.อุดรธานี) ที่มีผลยืนยันระดับ ไขมันพอกตับ เพื่อรองรับความแตกต่างด้านประชากร เครื่องตรวจ และ Protocol การสแกน ก่อนนำโมเดลไปใช้งานทางคลินิกจริง</w:t>
      </w:r>
    </w:p>
    <w:p w14:paraId="40A09DE0" w14:textId="77777777" w:rsidR="00A865E8" w:rsidRPr="00A075B4" w:rsidRDefault="00000000">
      <w:pPr>
        <w:keepNext/>
        <w:spacing w:before="240" w:after="120"/>
        <w:rPr>
          <w:rFonts w:ascii="TH SarabunPSK" w:hAnsi="TH SarabunPSK" w:cs="TH SarabunPSK" w:hint="cs"/>
          <w:color w:val="000000" w:themeColor="text1"/>
        </w:rPr>
      </w:pPr>
      <w:r w:rsidRPr="00A075B4">
        <w:rPr>
          <w:rFonts w:ascii="TH SarabunPSK" w:hAnsi="TH SarabunPSK" w:cs="TH SarabunPSK" w:hint="cs"/>
          <w:color w:val="000000" w:themeColor="text1"/>
        </w:rPr>
        <w:lastRenderedPageBreak/>
        <w:t>6. เกณฑ์การวัดผลและผลการทดสอบความแม่นยำทางคลินิก (Evaluation &amp; Benchmarks)</w:t>
      </w:r>
    </w:p>
    <w:p w14:paraId="6CD564A0"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การประเมินประสิทธิภาพของระบบ SmartLiva กระทำผ่านชุดการทดสอบมาตรฐานทางการแพทย์ที่เข้มงวด ทั้งในระดับพิกเซล (Segmentation), ระดับการตรวจต่อผู้ป่วย (Exam-Level AUROC), และการทดสอบเทียบกับผลการตรวจจริง (Real Patient Benchmark):</w:t>
      </w:r>
    </w:p>
    <w:tbl>
      <w:tblPr>
        <w:tblStyle w:val="TableGrid"/>
        <w:tblW w:w="0" w:type="auto"/>
        <w:tblLook w:val="04A0" w:firstRow="1" w:lastRow="0" w:firstColumn="1" w:lastColumn="0" w:noHBand="0" w:noVBand="1"/>
      </w:tblPr>
      <w:tblGrid>
        <w:gridCol w:w="1672"/>
        <w:gridCol w:w="1535"/>
        <w:gridCol w:w="1629"/>
        <w:gridCol w:w="4514"/>
      </w:tblGrid>
      <w:tr w:rsidR="00A075B4" w:rsidRPr="00A075B4" w14:paraId="019C9363" w14:textId="77777777" w:rsidTr="00A075B4">
        <w:tc>
          <w:tcPr>
            <w:tcW w:w="2340" w:type="dxa"/>
          </w:tcPr>
          <w:p w14:paraId="51824E8D"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โมดูล AI</w:t>
            </w:r>
          </w:p>
        </w:tc>
        <w:tc>
          <w:tcPr>
            <w:tcW w:w="2340" w:type="dxa"/>
          </w:tcPr>
          <w:p w14:paraId="0F0C5DCE"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ตัวชี้วัดหลัก (Primary Metric)</w:t>
            </w:r>
          </w:p>
        </w:tc>
        <w:tc>
          <w:tcPr>
            <w:tcW w:w="2340" w:type="dxa"/>
          </w:tcPr>
          <w:p w14:paraId="68774E7F"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ผลการทดสอบ (Score)</w:t>
            </w:r>
          </w:p>
        </w:tc>
        <w:tc>
          <w:tcPr>
            <w:tcW w:w="2340" w:type="dxa"/>
          </w:tcPr>
          <w:p w14:paraId="440B53D9"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ความหมายและผลลัพธ์ทางคลินิก</w:t>
            </w:r>
          </w:p>
        </w:tc>
      </w:tr>
      <w:tr w:rsidR="00A075B4" w:rsidRPr="00A075B4" w14:paraId="6BCB8C47" w14:textId="77777777" w:rsidTr="00A075B4">
        <w:tc>
          <w:tcPr>
            <w:tcW w:w="2340" w:type="dxa"/>
          </w:tcPr>
          <w:p w14:paraId="6ECEF17D"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10-Class Organ Gate</w:t>
            </w:r>
          </w:p>
        </w:tc>
        <w:tc>
          <w:tcPr>
            <w:tcW w:w="2340" w:type="dxa"/>
          </w:tcPr>
          <w:p w14:paraId="14132EEB"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Overall Accuracy / Sensitivity</w:t>
            </w:r>
          </w:p>
        </w:tc>
        <w:tc>
          <w:tcPr>
            <w:tcW w:w="2340" w:type="dxa"/>
          </w:tcPr>
          <w:p w14:paraId="3EFB989B"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98.4% / 99.1% on Liver</w:t>
            </w:r>
          </w:p>
        </w:tc>
        <w:tc>
          <w:tcPr>
            <w:tcW w:w="2340" w:type="dxa"/>
          </w:tcPr>
          <w:p w14:paraId="551A44BB"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ปฏิเสธภาพที่ไม่ใช่อัลตราซาวนด์ตับได้อย่างสมบูรณ์ ป้องกัน False Alarm</w:t>
            </w:r>
          </w:p>
        </w:tc>
      </w:tr>
      <w:tr w:rsidR="00A075B4" w:rsidRPr="00A075B4" w14:paraId="0641728F" w14:textId="77777777" w:rsidTr="00A075B4">
        <w:tc>
          <w:tcPr>
            <w:tcW w:w="2340" w:type="dxa"/>
          </w:tcPr>
          <w:p w14:paraId="7AD17188"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MedSAM2 </w:t>
            </w:r>
            <w:proofErr w:type="gramStart"/>
            <w:r w:rsidRPr="00A075B4">
              <w:rPr>
                <w:rFonts w:ascii="TH SarabunPSK" w:hAnsi="TH SarabunPSK" w:cs="TH SarabunPSK" w:hint="cs"/>
                <w:color w:val="000000" w:themeColor="text1"/>
              </w:rPr>
              <w:t>Multi-View Seg</w:t>
            </w:r>
            <w:proofErr w:type="gramEnd"/>
          </w:p>
        </w:tc>
        <w:tc>
          <w:tcPr>
            <w:tcW w:w="2340" w:type="dxa"/>
          </w:tcPr>
          <w:p w14:paraId="4FFD6445"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Mean Dice / Mean IoU</w:t>
            </w:r>
          </w:p>
        </w:tc>
        <w:tc>
          <w:tcPr>
            <w:tcW w:w="2340" w:type="dxa"/>
          </w:tcPr>
          <w:p w14:paraId="46FC7A44"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88.11% / 79.19% (RH: 94.9%)</w:t>
            </w:r>
          </w:p>
        </w:tc>
        <w:tc>
          <w:tcPr>
            <w:tcW w:w="2340" w:type="dxa"/>
          </w:tcPr>
          <w:p w14:paraId="5EEB5C51"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แบ่งขอบเขตตับได้แม่นยำสูง ครอบคลุมทุกมุมมองการตรวจ (GBH, LHA, RH, SPH)</w:t>
            </w:r>
          </w:p>
        </w:tc>
      </w:tr>
      <w:tr w:rsidR="00A075B4" w:rsidRPr="00A075B4" w14:paraId="12F8C15C" w14:textId="77777777" w:rsidTr="00A075B4">
        <w:tc>
          <w:tcPr>
            <w:tcW w:w="2340" w:type="dxa"/>
          </w:tcPr>
          <w:p w14:paraId="17D49757"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U-Net Liver Segmentation</w:t>
            </w:r>
          </w:p>
        </w:tc>
        <w:tc>
          <w:tcPr>
            <w:tcW w:w="2340" w:type="dxa"/>
          </w:tcPr>
          <w:p w14:paraId="51BEB1B5"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Macro Dice Score</w:t>
            </w:r>
          </w:p>
        </w:tc>
        <w:tc>
          <w:tcPr>
            <w:tcW w:w="2340" w:type="dxa"/>
          </w:tcPr>
          <w:p w14:paraId="1BB44313"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93.23% (Baseline SDK Benchmark)</w:t>
            </w:r>
          </w:p>
        </w:tc>
        <w:tc>
          <w:tcPr>
            <w:tcW w:w="2340" w:type="dxa"/>
          </w:tcPr>
          <w:p w14:paraId="6D7DECF7"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ความเร็วสูง ประมวลผลแบบ Real-time เหมาะสำหรับระบบ Real-time Inference</w:t>
            </w:r>
          </w:p>
        </w:tc>
      </w:tr>
      <w:tr w:rsidR="00A075B4" w:rsidRPr="00A075B4" w14:paraId="1DA5005D" w14:textId="77777777" w:rsidTr="00A075B4">
        <w:tc>
          <w:tcPr>
            <w:tcW w:w="2340" w:type="dxa"/>
          </w:tcPr>
          <w:p w14:paraId="6C1EA309" w14:textId="77777777" w:rsidR="00A865E8" w:rsidRPr="00A075B4" w:rsidRDefault="00000000">
            <w:pPr>
              <w:rPr>
                <w:rFonts w:ascii="TH SarabunPSK" w:hAnsi="TH SarabunPSK" w:cs="TH SarabunPSK" w:hint="cs"/>
                <w:color w:val="000000" w:themeColor="text1"/>
              </w:rPr>
            </w:pPr>
            <w:proofErr w:type="spellStart"/>
            <w:r w:rsidRPr="00A075B4">
              <w:rPr>
                <w:rFonts w:ascii="TH SarabunPSK" w:hAnsi="TH SarabunPSK" w:cs="TH SarabunPSK" w:hint="cs"/>
                <w:color w:val="000000" w:themeColor="text1"/>
              </w:rPr>
              <w:t>FibrosisNet</w:t>
            </w:r>
            <w:proofErr w:type="spellEnd"/>
            <w:r w:rsidRPr="00A075B4">
              <w:rPr>
                <w:rFonts w:ascii="TH SarabunPSK" w:hAnsi="TH SarabunPSK" w:cs="TH SarabunPSK" w:hint="cs"/>
                <w:color w:val="000000" w:themeColor="text1"/>
              </w:rPr>
              <w:t xml:space="preserve"> Ensemble</w:t>
            </w:r>
          </w:p>
        </w:tc>
        <w:tc>
          <w:tcPr>
            <w:tcW w:w="2340" w:type="dxa"/>
          </w:tcPr>
          <w:p w14:paraId="6E618E72"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Exam-level AUROC (≥ F2)</w:t>
            </w:r>
          </w:p>
        </w:tc>
        <w:tc>
          <w:tcPr>
            <w:tcW w:w="2340" w:type="dxa"/>
          </w:tcPr>
          <w:p w14:paraId="2FA2A71F"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0.892 (Significant Fibrosis)</w:t>
            </w:r>
          </w:p>
        </w:tc>
        <w:tc>
          <w:tcPr>
            <w:tcW w:w="2340" w:type="dxa"/>
          </w:tcPr>
          <w:p w14:paraId="0DF225E8"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คัดกรองผู้ป่วยพังผืดตับระยะมีนัยสำคัญได้อย่างแม่นยำเทียบเท่าเครื่องตรวจ Elastography</w:t>
            </w:r>
          </w:p>
        </w:tc>
      </w:tr>
      <w:tr w:rsidR="00A075B4" w:rsidRPr="00A075B4" w14:paraId="75A91C01" w14:textId="77777777" w:rsidTr="00A075B4">
        <w:tc>
          <w:tcPr>
            <w:tcW w:w="2340" w:type="dxa"/>
          </w:tcPr>
          <w:p w14:paraId="5E0BA369"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Focal Lesion (YOLOv8)</w:t>
            </w:r>
          </w:p>
        </w:tc>
        <w:tc>
          <w:tcPr>
            <w:tcW w:w="2340" w:type="dxa"/>
          </w:tcPr>
          <w:p w14:paraId="7F88D2C0"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mAP50 / Precision</w:t>
            </w:r>
          </w:p>
        </w:tc>
        <w:tc>
          <w:tcPr>
            <w:tcW w:w="2340" w:type="dxa"/>
          </w:tcPr>
          <w:p w14:paraId="3F0A0743"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84.7% / 86.2%</w:t>
            </w:r>
          </w:p>
        </w:tc>
        <w:tc>
          <w:tcPr>
            <w:tcW w:w="2340" w:type="dxa"/>
          </w:tcPr>
          <w:p w14:paraId="7EC56463" w14:textId="77777777" w:rsidR="00A865E8" w:rsidRPr="00A075B4" w:rsidRDefault="00000000">
            <w:pPr>
              <w:rPr>
                <w:rFonts w:ascii="TH SarabunPSK" w:hAnsi="TH SarabunPSK" w:cs="TH SarabunPSK" w:hint="cs"/>
                <w:color w:val="000000" w:themeColor="text1"/>
              </w:rPr>
            </w:pPr>
            <w:r w:rsidRPr="00A075B4">
              <w:rPr>
                <w:rFonts w:ascii="TH SarabunPSK" w:hAnsi="TH SarabunPSK" w:cs="TH SarabunPSK" w:hint="cs"/>
                <w:color w:val="000000" w:themeColor="text1"/>
              </w:rPr>
              <w:t>ตรวจจับเนื้องอก ถุงน้ำ และมะเร็งตับ โดยมีอัตราการหลุดรอดต่ำมาก</w:t>
            </w:r>
          </w:p>
        </w:tc>
      </w:tr>
    </w:tbl>
    <w:p w14:paraId="73A43DBC" w14:textId="77777777" w:rsidR="00A865E8" w:rsidRPr="00A075B4" w:rsidRDefault="00A865E8">
      <w:pPr>
        <w:spacing w:after="120"/>
        <w:rPr>
          <w:rFonts w:ascii="TH SarabunPSK" w:hAnsi="TH SarabunPSK" w:cs="TH SarabunPSK" w:hint="cs"/>
          <w:color w:val="000000" w:themeColor="text1"/>
        </w:rPr>
      </w:pPr>
    </w:p>
    <w:p w14:paraId="7EE13A5F" w14:textId="77777777" w:rsidR="00A865E8" w:rsidRPr="00A075B4" w:rsidRDefault="00000000">
      <w:pPr>
        <w:keepNext/>
        <w:spacing w:before="240" w:after="120"/>
        <w:rPr>
          <w:rFonts w:ascii="TH SarabunPSK" w:hAnsi="TH SarabunPSK" w:cs="TH SarabunPSK" w:hint="cs"/>
          <w:color w:val="000000" w:themeColor="text1"/>
        </w:rPr>
      </w:pPr>
      <w:r w:rsidRPr="00A075B4">
        <w:rPr>
          <w:rFonts w:ascii="TH SarabunPSK" w:hAnsi="TH SarabunPSK" w:cs="TH SarabunPSK" w:hint="cs"/>
          <w:color w:val="000000" w:themeColor="text1"/>
        </w:rPr>
        <w:t>7. วงจรการเรียนรู้ต่อเนื่องร่วมกับแพทย์ (Doctor-in-the-Loop Active Learning Flywheel)</w:t>
      </w:r>
    </w:p>
    <w:p w14:paraId="21895011" w14:textId="77777777"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ระบบปัญญาประดิษฐ์ทางการแพทย์ที่มีประสิทธิภาพจะต้องสามารถพัฒนาตนเองได้อย่างต่อเนื่องจากข้อมูลจริงในการใช้งานทางคลินิก (Real-world Evidence) SmartLiva จึงได้สร้างระบบ SQLite Data Flywheel (src/database/flywheel.py):</w:t>
      </w:r>
    </w:p>
    <w:p w14:paraId="2BD151E7"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1. Clinical Feedback Collection: เมื่อแพทย์ตรวจเคสในหน้าต่าง SmartLiva Review Console แพทย์สามารถกดปุ่มยืนยันผล (Approve), แก้ไข Bounding Box รอยโรค, หรือปรับเปลี่ยนระยะของโรค (Override Staging) พร้อมระบุเหตุผลทางคลินิก</w:t>
      </w:r>
    </w:p>
    <w:p w14:paraId="183FC776"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2. Secure Case Logging: ข้อมูลภาพ พิกัด Bounding Box ที่แพทย์แก้ไข และค่าผลการตรวจ จะถูกจัดเก็บลงใน SQLite Flywheel Database โดยอัตโนมัติ พร้อมเข้ารหัสและรักษาความเป็นส่วนตัวของผู้ป่วยตามมาตรฐาน PDPA</w:t>
      </w:r>
    </w:p>
    <w:p w14:paraId="61D3CAB7"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3. Automated Retraining &amp; Shadow Study: ทีมวิศวกร AI สามารถใช้สคริปต์ tools/shadow_study_manager.py เพื่อติดตามอัตราความสอดคล้องระหว่าง AI กับแพทย์ (Concordance Rate) และสั่ง Export ชุดข้อมูลเคสที่มีความยากหรือเคสที่แพทย์แก้ไข เพื่อนำมาทำ Incremental Fine-tuning พัฒนาโมเดลในเวอร์ชันถัดไปอย่างเป็นระบบ</w:t>
      </w:r>
    </w:p>
    <w:p w14:paraId="1514A7F3" w14:textId="77777777" w:rsidR="00A865E8" w:rsidRPr="00A075B4" w:rsidRDefault="00000000">
      <w:pPr>
        <w:keepNext/>
        <w:spacing w:before="240" w:after="120"/>
        <w:rPr>
          <w:rFonts w:ascii="TH SarabunPSK" w:hAnsi="TH SarabunPSK" w:cs="TH SarabunPSK" w:hint="cs"/>
          <w:color w:val="000000" w:themeColor="text1"/>
        </w:rPr>
      </w:pPr>
      <w:r w:rsidRPr="00A075B4">
        <w:rPr>
          <w:rFonts w:ascii="TH SarabunPSK" w:hAnsi="TH SarabunPSK" w:cs="TH SarabunPSK" w:hint="cs"/>
          <w:color w:val="000000" w:themeColor="text1"/>
        </w:rPr>
        <w:t>8. สรุปความก้าวหน้าและแผนการดำเนินงานระยะถัดไป (Summary &amp; Next Milestones)</w:t>
      </w:r>
    </w:p>
    <w:p w14:paraId="2B1F2DCE" w14:textId="77777777" w:rsidR="00A865E8" w:rsidRPr="00A075B4" w:rsidRDefault="00000000">
      <w:pPr>
        <w:pStyle w:val="ListBullet"/>
        <w:spacing w:after="80"/>
        <w:rPr>
          <w:rFonts w:ascii="TH SarabunPSK" w:hAnsi="TH SarabunPSK" w:cs="TH SarabunPSK" w:hint="cs"/>
          <w:color w:val="000000" w:themeColor="text1"/>
        </w:rPr>
      </w:pPr>
      <w:proofErr w:type="spellStart"/>
      <w:r w:rsidRPr="00A075B4">
        <w:rPr>
          <w:rFonts w:ascii="TH SarabunPSK" w:hAnsi="TH SarabunPSK" w:cs="TH SarabunPSK" w:hint="cs"/>
          <w:color w:val="000000" w:themeColor="text1"/>
        </w:rPr>
        <w:t>ความสมบูรณ์ของโมเดล</w:t>
      </w:r>
      <w:proofErr w:type="spellEnd"/>
      <w:r w:rsidRPr="00A075B4">
        <w:rPr>
          <w:rFonts w:ascii="TH SarabunPSK" w:hAnsi="TH SarabunPSK" w:cs="TH SarabunPSK" w:hint="cs"/>
          <w:color w:val="000000" w:themeColor="text1"/>
        </w:rPr>
        <w:t xml:space="preserve">: </w:t>
      </w:r>
      <w:proofErr w:type="spellStart"/>
      <w:r w:rsidRPr="00A075B4">
        <w:rPr>
          <w:rFonts w:ascii="TH SarabunPSK" w:hAnsi="TH SarabunPSK" w:cs="TH SarabunPSK" w:hint="cs"/>
          <w:color w:val="000000" w:themeColor="text1"/>
        </w:rPr>
        <w:t>พัฒนาและฝึกสอนโมเดลปัญญาประดิษฐ์ครบทุกมิติ</w:t>
      </w:r>
      <w:proofErr w:type="spellEnd"/>
      <w:r w:rsidRPr="00A075B4">
        <w:rPr>
          <w:rFonts w:ascii="TH SarabunPSK" w:hAnsi="TH SarabunPSK" w:cs="TH SarabunPSK" w:hint="cs"/>
          <w:color w:val="000000" w:themeColor="text1"/>
        </w:rPr>
        <w:t xml:space="preserve"> (Gatekeeper, Multi-Organ Segmentation, Fibrosis Ensemble, Focal Lesion YOLOv8, Steatosis, และ Fluke Risk) พร้อมระบบ Multi-Organ Gated Pipeline 100%</w:t>
      </w:r>
    </w:p>
    <w:p w14:paraId="662D0430"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คุณภาพการทดสอบ: ผ่านการทดสอบ End-to-End Integration Test ครบทั้ง 14/14 การทดสอบ และมีระบบทดสอบอัตโนมัติครอบคลุมการตรวจสอบข้อมูลรั่วไหล (Zero Leakage Audit) และการตรวจจับภาพที่ไม่ใช่อัลตราซาวนด์</w:t>
      </w:r>
    </w:p>
    <w:p w14:paraId="680682CC"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ความพร้อมของระบบ: พัฒนาแพลตฟอร์มหน้าบ้าน (React 19 + TypeScript + Tailwind) และหลังบ้าน (FastAPI) พร้อมระบบ Flywheel และ AI Copilot (Gemini 2.5 Flash) เสร็จสมบูรณ์พร้อมใช้งาน</w:t>
      </w:r>
    </w:p>
    <w:p w14:paraId="5CD4B263" w14:textId="7F793620" w:rsidR="00A865E8" w:rsidRPr="00A075B4" w:rsidRDefault="00000000">
      <w:pPr>
        <w:spacing w:after="120"/>
        <w:rPr>
          <w:rFonts w:ascii="TH SarabunPSK" w:hAnsi="TH SarabunPSK" w:cs="TH SarabunPSK" w:hint="cs"/>
          <w:color w:val="000000" w:themeColor="text1"/>
        </w:rPr>
      </w:pPr>
      <w:r w:rsidRPr="00A075B4">
        <w:rPr>
          <w:rFonts w:ascii="TH SarabunPSK" w:hAnsi="TH SarabunPSK" w:cs="TH SarabunPSK" w:hint="cs"/>
          <w:color w:val="000000" w:themeColor="text1"/>
        </w:rPr>
        <w:t xml:space="preserve"> แผนการดำเนินงานในระยะถัดไป (Next Milestones):</w:t>
      </w:r>
    </w:p>
    <w:p w14:paraId="66CC577B"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1. Stage 2 Clinical Shadow Study: ดำเนินการทดสอบ Shadow Study ร่วมกับแพทย์รังสีวิทยาและอายุรแพทย์โรคตับในโรงพยาบาลพันธมิตร เพื่อประเมินความสอดคล้องของการใช้งานจริง (Clinical Concordance Audit)</w:t>
      </w:r>
    </w:p>
    <w:p w14:paraId="4844E984" w14:textId="77777777" w:rsidR="00A865E8" w:rsidRPr="00A075B4" w:rsidRDefault="00000000">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lastRenderedPageBreak/>
        <w:t>2. Active Learning Cycle 1: นำผลการตรวจจาก Shadow Study รอบแรกมา Fine-tune โมเดล FibrosisNet และ YOLO Lesion Detector เพื่อเพิ่มความแม่นยำในกลุ่มรอยโรคหายาก</w:t>
      </w:r>
    </w:p>
    <w:p w14:paraId="44E03656" w14:textId="32638FB5" w:rsidR="00A865E8" w:rsidRPr="00A075B4" w:rsidRDefault="00000000" w:rsidP="00A075B4">
      <w:pPr>
        <w:pStyle w:val="ListBullet"/>
        <w:spacing w:after="80"/>
        <w:rPr>
          <w:rFonts w:ascii="TH SarabunPSK" w:hAnsi="TH SarabunPSK" w:cs="TH SarabunPSK" w:hint="cs"/>
          <w:color w:val="000000" w:themeColor="text1"/>
        </w:rPr>
      </w:pPr>
      <w:r w:rsidRPr="00A075B4">
        <w:rPr>
          <w:rFonts w:ascii="TH SarabunPSK" w:hAnsi="TH SarabunPSK" w:cs="TH SarabunPSK" w:hint="cs"/>
          <w:color w:val="000000" w:themeColor="text1"/>
        </w:rPr>
        <w:t>3. Regulatory Preparation (Thai FDA SaMD): รวบรวมรายงานทางเทคนิค ผลการทดสอบความแม่นยำ และเอกสารความปลอดภัยทางการแพทย์ เพื่อเตรียมยื่นขอการรับรองซอฟต์แวร์แพทย์ (SaMD) จากสำนักงานคณะกรรมการอาหารและยา (อย.) ต่อไป</w:t>
      </w:r>
    </w:p>
    <w:sectPr w:rsidR="00A865E8" w:rsidRPr="00A075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TH SarabunPSK">
    <w:panose1 w:val="020B0500040200020003"/>
    <w:charset w:val="DE"/>
    <w:family w:val="swiss"/>
    <w:pitch w:val="variable"/>
    <w:sig w:usb0="01000003" w:usb1="00000000" w:usb2="00000000" w:usb3="00000000" w:csb0="0001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39478">
    <w:abstractNumId w:val="8"/>
  </w:num>
  <w:num w:numId="2" w16cid:durableId="1689984716">
    <w:abstractNumId w:val="6"/>
  </w:num>
  <w:num w:numId="3" w16cid:durableId="1421676365">
    <w:abstractNumId w:val="5"/>
  </w:num>
  <w:num w:numId="4" w16cid:durableId="1697808067">
    <w:abstractNumId w:val="4"/>
  </w:num>
  <w:num w:numId="5" w16cid:durableId="2114323455">
    <w:abstractNumId w:val="7"/>
  </w:num>
  <w:num w:numId="6" w16cid:durableId="1162743457">
    <w:abstractNumId w:val="3"/>
  </w:num>
  <w:num w:numId="7" w16cid:durableId="1707607585">
    <w:abstractNumId w:val="2"/>
  </w:num>
  <w:num w:numId="8" w16cid:durableId="1831867702">
    <w:abstractNumId w:val="1"/>
  </w:num>
  <w:num w:numId="9" w16cid:durableId="94669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70DB"/>
    <w:rsid w:val="00A075B4"/>
    <w:rsid w:val="00A865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42CB1"/>
  <w14:defaultImageDpi w14:val="300"/>
  <w15:docId w15:val="{CE3ED6F0-FBCE-FE4E-AAB8-FC42CF1B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2363</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PHURINAT POLASA</cp:lastModifiedBy>
  <cp:revision>2</cp:revision>
  <dcterms:created xsi:type="dcterms:W3CDTF">2026-08-25T11:01:00Z</dcterms:created>
  <dcterms:modified xsi:type="dcterms:W3CDTF">2026-08-25T11:01:00Z</dcterms:modified>
  <cp:category/>
</cp:coreProperties>
</file>