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深圳：支持深圳大学“双一流”建设</w:t>
      </w:r>
    </w:p>
    <w:p>
      <w:pPr>
        <w:pStyle w:val="Heading1"/>
        <w:spacing w:line="276" w:lineRule="auto"/>
      </w:pPr>
      <w:r>
        <w:t>深圳：支持深圳大学“双一流”建设</w:t>
      </w:r>
    </w:p>
    <w:p>
      <w:pPr>
        <w:spacing w:line="276" w:lineRule="auto" w:before="120" w:after="120"/>
      </w:pPr>
      <w:r>
        <w:t>据 @深视新闻 消息：</w:t>
      </w:r>
    </w:p>
    <w:p>
      <w:pPr>
        <w:spacing w:line="276" w:lineRule="auto" w:before="120" w:after="120"/>
      </w:pPr>
      <w:r>
        <w:t xml:space="preserve"> 2026年，深圳要全方位构建高质量教育体系。高水平建设西丽湖国际科教城、光明科学城、大运深港国际科教城。支持深圳大学等在深高校“双一流”建设。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2月9日 11:04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