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gif"/>
  <Override PartName="/word/media/image2.webp" ContentType="image/gif"/>
  <Override PartName="/word/media/image3.webp" ContentType="image/gif"/>
  <Override PartName="/word/media/image4.webp" ContentType="image/png"/>
  <Override PartName="/word/media/image5.webp" ContentType="image/jpeg"/>
  <Override PartName="/word/media/image6.webp" ContentType="image/png"/>
  <Override PartName="/word/media/image7.webp" ContentType="image/gi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pPr>
      <w:r>
        <w:t>社科新型智库，深大+3</w:t>
      </w:r>
    </w:p>
    <w:p>
      <w:pPr>
        <w:jc w:val="center"/>
      </w:pPr>
      <w:r>
        <w:drawing>
          <wp:inline xmlns:a="http://schemas.openxmlformats.org/drawingml/2006/main" xmlns:pic="http://schemas.openxmlformats.org/drawingml/2006/picture">
            <wp:extent cx="5676900" cy="1549400"/>
            <wp:docPr id="1" name="Picture 1"/>
            <wp:cNvGraphicFramePr>
              <a:graphicFrameLocks noChangeAspect="1"/>
            </wp:cNvGraphicFramePr>
            <a:graphic>
              <a:graphicData uri="http://schemas.openxmlformats.org/drawingml/2006/picture">
                <pic:pic>
                  <pic:nvPicPr>
                    <pic:cNvPr id="0" name="43a59680611da82c1351b2e7d024315d68f973c6c1aaf52be83a71d2f2853b03.webp"/>
                    <pic:cNvPicPr/>
                  </pic:nvPicPr>
                  <pic:blipFill>
                    <a:blip r:embed="rId9"/>
                    <a:stretch>
                      <a:fillRect/>
                    </a:stretch>
                  </pic:blipFill>
                  <pic:spPr>
                    <a:xfrm>
                      <a:off x="0" y="0"/>
                      <a:ext cx="5676900" cy="1549400"/>
                    </a:xfrm>
                    <a:prstGeom prst="rect"/>
                  </pic:spPr>
                </pic:pic>
              </a:graphicData>
            </a:graphic>
          </wp:inline>
        </w:drawing>
      </w:r>
    </w:p>
    <w:p>
      <w:pPr>
        <w:jc w:val="center"/>
      </w:pPr>
      <w:r>
        <w:t>图片</w:t>
      </w:r>
    </w:p>
    <w:p>
      <w:pPr>
        <w:spacing w:line="276" w:lineRule="auto" w:before="120" w:after="120"/>
      </w:pPr>
      <w:r>
        <w:t>近日</w:t>
      </w:r>
    </w:p>
    <w:p>
      <w:pPr>
        <w:spacing w:line="276" w:lineRule="auto" w:before="120" w:after="120"/>
      </w:pPr>
      <w:r>
        <w:t>广东省社会科学界联合会</w:t>
      </w:r>
    </w:p>
    <w:p>
      <w:pPr>
        <w:spacing w:line="276" w:lineRule="auto" w:before="120" w:after="120"/>
      </w:pPr>
      <w:r>
        <w:t>公布社科新型智库评审结果</w:t>
      </w:r>
    </w:p>
    <w:p>
      <w:pPr>
        <w:spacing w:line="276" w:lineRule="auto" w:before="120" w:after="120"/>
      </w:pPr>
      <w:r>
        <w:t>深圳大学三个研究院入选</w:t>
      </w:r>
    </w:p>
    <w:p>
      <w:pPr>
        <w:spacing w:line="276" w:lineRule="auto" w:before="120" w:after="120"/>
      </w:pPr>
      <w:r>
        <w:t xml:space="preserve"> 其中</w:t>
      </w:r>
    </w:p>
    <w:p>
      <w:pPr>
        <w:spacing w:line="276" w:lineRule="auto" w:before="120" w:after="120"/>
      </w:pPr>
      <w:r>
        <w:t>“新质生产力研究院”</w:t>
      </w:r>
    </w:p>
    <w:p>
      <w:pPr>
        <w:spacing w:line="276" w:lineRule="auto" w:before="120" w:after="120"/>
      </w:pPr>
      <w:r>
        <w:t>入选“社科新型高端智库”</w:t>
      </w:r>
    </w:p>
    <w:p>
      <w:pPr>
        <w:spacing w:line="276" w:lineRule="auto" w:before="120" w:after="120"/>
      </w:pPr>
      <w:r>
        <w:t>“城市体育研究院”</w:t>
      </w:r>
    </w:p>
    <w:p>
      <w:pPr>
        <w:spacing w:line="276" w:lineRule="auto" w:before="120" w:after="120"/>
      </w:pPr>
      <w:r>
        <w:t>“全球特大型城市治理研究院”</w:t>
      </w:r>
    </w:p>
    <w:p>
      <w:pPr>
        <w:spacing w:line="276" w:lineRule="auto" w:before="120" w:after="120"/>
      </w:pPr>
      <w:r>
        <w:t>入选“社科新型重点智库”</w:t>
      </w:r>
    </w:p>
    <w:p>
      <w:pPr>
        <w:jc w:val="center"/>
      </w:pPr>
      <w:r>
        <w:drawing>
          <wp:inline xmlns:a="http://schemas.openxmlformats.org/drawingml/2006/main" xmlns:pic="http://schemas.openxmlformats.org/drawingml/2006/picture">
            <wp:extent cx="3048000" cy="3048000"/>
            <wp:docPr id="2" name="Picture 2"/>
            <wp:cNvGraphicFramePr>
              <a:graphicFrameLocks noChangeAspect="1"/>
            </wp:cNvGraphicFramePr>
            <a:graphic>
              <a:graphicData uri="http://schemas.openxmlformats.org/drawingml/2006/picture">
                <pic:pic>
                  <pic:nvPicPr>
                    <pic:cNvPr id="0" name="0d0bc7a72c5ae6df07f583f968e00ad07e1e84ce9facd775c02205af4e23d8ac.webp"/>
                    <pic:cNvPicPr/>
                  </pic:nvPicPr>
                  <pic:blipFill>
                    <a:blip r:embed="rId10"/>
                    <a:stretch>
                      <a:fillRect/>
                    </a:stretch>
                  </pic:blipFill>
                  <pic:spPr>
                    <a:xfrm>
                      <a:off x="0" y="0"/>
                      <a:ext cx="3048000" cy="3048000"/>
                    </a:xfrm>
                    <a:prstGeom prst="rect"/>
                  </pic:spPr>
                </pic:pic>
              </a:graphicData>
            </a:graphic>
          </wp:inline>
        </w:drawing>
      </w:r>
    </w:p>
    <w:p>
      <w:pPr>
        <w:jc w:val="center"/>
      </w:pPr>
      <w:r>
        <w:t>图片</w:t>
      </w:r>
    </w:p>
    <w:p>
      <w:pPr>
        <w:spacing w:line="276" w:lineRule="auto" w:before="120" w:after="120"/>
      </w:pPr>
      <w:r>
        <w:t>为深入贯彻落实国家、广东省关于加强中国特色新型智库建设的决策部署，推动广东社科新型智库高质量发展，根据省社科联《社科新型智库“强基攀登计划”实施方案（2025-2028）》要求，广东省社会科学界联合会组织开展社科新型智库的申报与评审工作。评审综合考虑各新型智库的建设基础、成果贡献、社会影响力等，共评定高端智库10家、重点智库20家。</w:t>
      </w:r>
    </w:p>
    <w:p>
      <w:pPr>
        <w:spacing w:line="276" w:lineRule="auto" w:before="120" w:after="120"/>
      </w:pPr>
      <w:r>
        <w:t>社科新型高端智库</w:t>
      </w:r>
    </w:p>
    <w:p>
      <w:pPr>
        <w:spacing w:line="276" w:lineRule="auto" w:before="120" w:after="120"/>
      </w:pPr>
      <w:r>
        <w:t>深圳大学 新质生产力研究院</w:t>
      </w:r>
    </w:p>
    <w:p>
      <w:pPr>
        <w:spacing w:line="276" w:lineRule="auto" w:before="120" w:after="120"/>
      </w:pPr>
      <w:r>
        <w:t>研究方向：</w:t>
      </w:r>
    </w:p>
    <w:p>
      <w:pPr>
        <w:spacing w:line="276" w:lineRule="auto" w:before="120" w:after="120"/>
      </w:pPr>
      <w:r>
        <w:t>加快发展新质生产力的理论阐释研究</w:t>
      </w:r>
    </w:p>
    <w:p>
      <w:pPr>
        <w:spacing w:line="276" w:lineRule="auto" w:before="120" w:after="120"/>
      </w:pPr>
      <w:r>
        <w:t>加快发展新质生产力的比较研究</w:t>
      </w:r>
    </w:p>
    <w:p>
      <w:pPr>
        <w:spacing w:line="276" w:lineRule="auto" w:before="120" w:after="120"/>
      </w:pPr>
      <w:r>
        <w:t>加快发展新质生产力的实现路径研究</w:t>
      </w:r>
    </w:p>
    <w:p>
      <w:pPr>
        <w:spacing w:line="276" w:lineRule="auto" w:before="120" w:after="120"/>
      </w:pPr>
      <w:r>
        <w:t>加快发展新质生产力的政策体系研究</w:t>
      </w:r>
    </w:p>
    <w:p>
      <w:pPr>
        <w:spacing w:line="276" w:lineRule="auto" w:before="120" w:after="120"/>
      </w:pPr>
      <w:r>
        <w:t>该研究院系广东省高校首家成立的新质生产力研究机构。研究院以服务国家重大战略需求为使命，立足粤港澳大湾区新兴产业前沿实践，重点围绕低空经济与创新战略等方向开展系统性理论与实践研究。研究院以深度调研和剖析企业鲜活实践为基础，形成了以“案例+”为核心抓手、以文工交叉为方法特色的研究路径，旨在通过系统总结和提炼新质生产力发展进程中的新理论、新方法，探索形成兼具全球学术显示度与全国学术竞争力的高水平研究成果，推动理论研究与产业实践的深度融合与双向赋能。</w:t>
      </w:r>
    </w:p>
    <w:p>
      <w:pPr>
        <w:spacing w:line="276" w:lineRule="auto" w:before="120" w:after="120"/>
      </w:pPr>
      <w:r>
        <w:t>社科新型重点智库</w:t>
      </w:r>
    </w:p>
    <w:p>
      <w:pPr>
        <w:spacing w:line="276" w:lineRule="auto" w:before="120" w:after="120"/>
      </w:pPr>
      <w:r>
        <w:t>深圳大学城市体育研究院</w:t>
      </w:r>
    </w:p>
    <w:p>
      <w:pPr>
        <w:spacing w:line="276" w:lineRule="auto" w:before="120" w:after="120"/>
      </w:pPr>
      <w:r>
        <w:t>研究方向：</w:t>
      </w:r>
    </w:p>
    <w:p>
      <w:pPr>
        <w:spacing w:line="276" w:lineRule="auto" w:before="120" w:after="120"/>
      </w:pPr>
      <w:r>
        <w:t>体育法治与政策研究</w:t>
      </w:r>
    </w:p>
    <w:p>
      <w:pPr>
        <w:spacing w:line="276" w:lineRule="auto" w:before="120" w:after="120"/>
      </w:pPr>
      <w:r>
        <w:t>体育经济与产业发展</w:t>
      </w:r>
    </w:p>
    <w:p>
      <w:pPr>
        <w:spacing w:line="276" w:lineRule="auto" w:before="120" w:after="120"/>
      </w:pPr>
      <w:r>
        <w:t>赛事体系与竞技发展</w:t>
      </w:r>
    </w:p>
    <w:p>
      <w:pPr>
        <w:spacing w:line="276" w:lineRule="auto" w:before="120" w:after="120"/>
      </w:pPr>
      <w:r>
        <w:t>体育文化与非遗传承</w:t>
      </w:r>
    </w:p>
    <w:p>
      <w:pPr>
        <w:spacing w:line="276" w:lineRule="auto" w:before="120" w:after="120"/>
      </w:pPr>
      <w:r>
        <w:t>国际体育与全球治理</w:t>
      </w:r>
    </w:p>
    <w:p>
      <w:pPr>
        <w:spacing w:line="276" w:lineRule="auto" w:before="120" w:after="120"/>
      </w:pPr>
      <w:r>
        <w:t>该研究院是深圳大学打造的体育类高端智库，是粤港澳大湾区重要的体育决策服务机构，围绕健康中国、体育强国战略、广东省“1310”部署和体育强省战略，致力于粤港澳大湾区体育发展的深入研究。</w:t>
      </w:r>
    </w:p>
    <w:p>
      <w:pPr>
        <w:spacing w:line="276" w:lineRule="auto" w:before="120" w:after="120"/>
      </w:pPr>
      <w:r>
        <w:t>深圳大学全球特大型城市治理研究院</w:t>
      </w:r>
    </w:p>
    <w:p>
      <w:pPr>
        <w:spacing w:line="276" w:lineRule="auto" w:before="120" w:after="120"/>
      </w:pPr>
      <w:r>
        <w:t>研究方向：</w:t>
      </w:r>
    </w:p>
    <w:p>
      <w:pPr>
        <w:spacing w:line="276" w:lineRule="auto" w:before="120" w:after="120"/>
      </w:pPr>
      <w:r>
        <w:t>全球特大型城市治理创新研究</w:t>
      </w:r>
    </w:p>
    <w:p>
      <w:pPr>
        <w:spacing w:line="276" w:lineRule="auto" w:before="120" w:after="120"/>
      </w:pPr>
      <w:r>
        <w:t>中国特大城市治理问题扎根研究</w:t>
      </w:r>
    </w:p>
    <w:p>
      <w:pPr>
        <w:spacing w:line="276" w:lineRule="auto" w:before="120" w:after="120"/>
      </w:pPr>
      <w:r>
        <w:t>粤港澳大湾区城市治理创新研究</w:t>
      </w:r>
    </w:p>
    <w:p>
      <w:pPr>
        <w:spacing w:line="276" w:lineRule="auto" w:before="120" w:after="120"/>
      </w:pPr>
      <w:r>
        <w:t>深圳建设全球标杆城市路径研究</w:t>
      </w:r>
    </w:p>
    <w:p>
      <w:pPr>
        <w:spacing w:line="276" w:lineRule="auto" w:before="120" w:after="120"/>
      </w:pPr>
      <w:r>
        <w:t>该研究院立足深圳经济特区和先行示范区，扎根粤港澳大湾区世界级城市群，长期跟踪研究全球特大型城市治理实践中具有重大理论意义的现实问题和具有重大现实意义的理论问题，聚焦全球城市化共性挑战与中国城市治理现代化特殊命题，致力于打造贯通学术研究、政策咨询与国际对话的高端智库平台。</w:t>
      </w:r>
    </w:p>
    <w:p>
      <w:pPr>
        <w:jc w:val="center"/>
      </w:pPr>
      <w:r>
        <w:drawing>
          <wp:inline xmlns:a="http://schemas.openxmlformats.org/drawingml/2006/main" xmlns:pic="http://schemas.openxmlformats.org/drawingml/2006/picture">
            <wp:extent cx="3048000" cy="3048000"/>
            <wp:docPr id="3" name="Picture 3"/>
            <wp:cNvGraphicFramePr>
              <a:graphicFrameLocks noChangeAspect="1"/>
            </wp:cNvGraphicFramePr>
            <a:graphic>
              <a:graphicData uri="http://schemas.openxmlformats.org/drawingml/2006/picture">
                <pic:pic>
                  <pic:nvPicPr>
                    <pic:cNvPr id="0" name="1cc03012284e3e0e6c50132c6bffbcc878f12aee4b564742cd5b12c36821439b.webp"/>
                    <pic:cNvPicPr/>
                  </pic:nvPicPr>
                  <pic:blipFill>
                    <a:blip r:embed="rId11"/>
                    <a:stretch>
                      <a:fillRect/>
                    </a:stretch>
                  </pic:blipFill>
                  <pic:spPr>
                    <a:xfrm>
                      <a:off x="0" y="0"/>
                      <a:ext cx="3048000" cy="3048000"/>
                    </a:xfrm>
                    <a:prstGeom prst="rect"/>
                  </pic:spPr>
                </pic:pic>
              </a:graphicData>
            </a:graphic>
          </wp:inline>
        </w:drawing>
      </w:r>
    </w:p>
    <w:p>
      <w:pPr>
        <w:jc w:val="center"/>
      </w:pPr>
      <w:r>
        <w:t>图片</w:t>
      </w:r>
    </w:p>
    <w:p>
      <w:pPr>
        <w:spacing w:line="276" w:lineRule="auto" w:before="120" w:after="120"/>
      </w:pPr>
      <w:r>
        <w:t>祝贺以上入选的研究院！</w:t>
      </w:r>
    </w:p>
    <w:p>
      <w:pPr>
        <w:jc w:val="center"/>
      </w:pPr>
      <w:r>
        <w:drawing>
          <wp:inline xmlns:a="http://schemas.openxmlformats.org/drawingml/2006/main" xmlns:pic="http://schemas.openxmlformats.org/drawingml/2006/picture">
            <wp:extent cx="5486400" cy="759807"/>
            <wp:docPr id="4" name="Picture 4"/>
            <wp:cNvGraphicFramePr>
              <a:graphicFrameLocks noChangeAspect="1"/>
            </wp:cNvGraphicFramePr>
            <a:graphic>
              <a:graphicData uri="http://schemas.openxmlformats.org/drawingml/2006/picture">
                <pic:pic>
                  <pic:nvPicPr>
                    <pic:cNvPr id="0" name="43eaa6fbbf255fa7ebcbfdc47a22f5f752242ef41102dcc9eea35cbea0ebb37c.webp"/>
                    <pic:cNvPicPr/>
                  </pic:nvPicPr>
                  <pic:blipFill>
                    <a:blip r:embed="rId12"/>
                    <a:stretch>
                      <a:fillRect/>
                    </a:stretch>
                  </pic:blipFill>
                  <pic:spPr>
                    <a:xfrm>
                      <a:off x="0" y="0"/>
                      <a:ext cx="5486400" cy="759807"/>
                    </a:xfrm>
                    <a:prstGeom prst="rect"/>
                  </pic:spPr>
                </pic:pic>
              </a:graphicData>
            </a:graphic>
          </wp:inline>
        </w:drawing>
      </w:r>
    </w:p>
    <w:p>
      <w:pPr>
        <w:jc w:val="center"/>
      </w:pPr>
      <w:r>
        <w:t>图片</w:t>
      </w:r>
    </w:p>
    <w:p>
      <w:pPr>
        <w:spacing w:line="276" w:lineRule="auto" w:before="120" w:after="120"/>
      </w:pPr>
      <w:r>
        <w:t>深圳大学社会科学部</w:t>
      </w:r>
    </w:p>
    <w:p>
      <w:pPr>
        <w:jc w:val="center"/>
      </w:pPr>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c9fa84a32031467891fd47b6804e51d7a3f5d1bbfdd7e82b4c63a6d69461d91d.webp"/>
                    <pic:cNvPicPr/>
                  </pic:nvPicPr>
                  <pic:blipFill>
                    <a:blip r:embed="rId13"/>
                    <a:stretch>
                      <a:fillRect/>
                    </a:stretch>
                  </pic:blipFill>
                  <pic:spPr>
                    <a:xfrm>
                      <a:off x="0" y="0"/>
                      <a:ext cx="5486400" cy="3657600"/>
                    </a:xfrm>
                    <a:prstGeom prst="rect"/>
                  </pic:spPr>
                </pic:pic>
              </a:graphicData>
            </a:graphic>
          </wp:inline>
        </w:drawing>
      </w:r>
    </w:p>
    <w:p>
      <w:pPr>
        <w:jc w:val="center"/>
      </w:pPr>
      <w:r>
        <w:t>图片</w:t>
      </w:r>
    </w:p>
    <w:p>
      <w:pPr>
        <w:spacing w:line="276" w:lineRule="auto" w:before="120" w:after="120"/>
      </w:pPr>
      <w:r>
        <w:t>深圳大学全媒体平台长期接收投稿</w:t>
      </w:r>
    </w:p>
    <w:p>
      <w:pPr>
        <w:spacing w:line="276" w:lineRule="auto" w:before="120" w:after="120"/>
      </w:pPr>
      <w:r>
        <w:t>来稿请标明作者姓名和联系方式</w:t>
      </w:r>
    </w:p>
    <w:p>
      <w:pPr>
        <w:spacing w:line="276" w:lineRule="auto" w:before="120" w:after="120"/>
      </w:pPr>
      <w:r>
        <w:t>投稿邮箱 ： szuxcb@szu.edu.cn</w:t>
      </w:r>
    </w:p>
    <w:p>
      <w:pPr>
        <w:jc w:val="center"/>
      </w:pPr>
      <w:r>
        <w:drawing>
          <wp:inline xmlns:a="http://schemas.openxmlformats.org/drawingml/2006/main" xmlns:pic="http://schemas.openxmlformats.org/drawingml/2006/picture">
            <wp:extent cx="3556000" cy="3556000"/>
            <wp:docPr id="6" name="Picture 6"/>
            <wp:cNvGraphicFramePr>
              <a:graphicFrameLocks noChangeAspect="1"/>
            </wp:cNvGraphicFramePr>
            <a:graphic>
              <a:graphicData uri="http://schemas.openxmlformats.org/drawingml/2006/picture">
                <pic:pic>
                  <pic:nvPicPr>
                    <pic:cNvPr id="0" name="a8f16f7058e53b07f7d13d5a5978daa05b2163c31759f248b96992a15e3b0033.webp"/>
                    <pic:cNvPicPr/>
                  </pic:nvPicPr>
                  <pic:blipFill>
                    <a:blip r:embed="rId14"/>
                    <a:stretch>
                      <a:fillRect/>
                    </a:stretch>
                  </pic:blipFill>
                  <pic:spPr>
                    <a:xfrm>
                      <a:off x="0" y="0"/>
                      <a:ext cx="3556000" cy="3556000"/>
                    </a:xfrm>
                    <a:prstGeom prst="rect"/>
                  </pic:spPr>
                </pic:pic>
              </a:graphicData>
            </a:graphic>
          </wp:inline>
        </w:drawing>
      </w:r>
    </w:p>
    <w:p>
      <w:pPr>
        <w:jc w:val="center"/>
      </w:pPr>
      <w:r>
        <w:t>图片</w:t>
      </w:r>
    </w:p>
    <w:p>
      <w:pPr>
        <w:spacing w:line="276" w:lineRule="auto" w:before="120" w:after="120"/>
      </w:pPr>
      <w:r>
        <w:t>深圳大学捐赠平台</w:t>
      </w:r>
    </w:p>
    <w:p>
      <w:pPr>
        <w:spacing w:line="276" w:lineRule="auto" w:before="120" w:after="120"/>
      </w:pPr>
      <w:r>
        <w:t>扫描左侧二维码进入平台</w:t>
      </w:r>
    </w:p>
    <w:p>
      <w:pPr>
        <w:jc w:val="center"/>
      </w:pPr>
      <w:r>
        <w:drawing>
          <wp:inline xmlns:a="http://schemas.openxmlformats.org/drawingml/2006/main" xmlns:pic="http://schemas.openxmlformats.org/drawingml/2006/picture">
            <wp:extent cx="5486400" cy="2000250"/>
            <wp:docPr id="7" name="Picture 7"/>
            <wp:cNvGraphicFramePr>
              <a:graphicFrameLocks noChangeAspect="1"/>
            </wp:cNvGraphicFramePr>
            <a:graphic>
              <a:graphicData uri="http://schemas.openxmlformats.org/drawingml/2006/picture">
                <pic:pic>
                  <pic:nvPicPr>
                    <pic:cNvPr id="0" name="b0160b6138c283777293896634454e699b3e9d962300336ce89cf447532756b2.webp"/>
                    <pic:cNvPicPr/>
                  </pic:nvPicPr>
                  <pic:blipFill>
                    <a:blip r:embed="rId15"/>
                    <a:stretch>
                      <a:fillRect/>
                    </a:stretch>
                  </pic:blipFill>
                  <pic:spPr>
                    <a:xfrm>
                      <a:off x="0" y="0"/>
                      <a:ext cx="5486400" cy="2000250"/>
                    </a:xfrm>
                    <a:prstGeom prst="rect"/>
                  </pic:spPr>
                </pic:pic>
              </a:graphicData>
            </a:graphic>
          </wp:inline>
        </w:drawing>
      </w:r>
    </w:p>
    <w:p>
      <w:pPr>
        <w:jc w:val="center"/>
      </w:pPr>
      <w:r>
        <w:t>图片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ebp"/><Relationship Id="rId10" Type="http://schemas.openxmlformats.org/officeDocument/2006/relationships/image" Target="media/image2.webp"/><Relationship Id="rId11" Type="http://schemas.openxmlformats.org/officeDocument/2006/relationships/image" Target="media/image3.webp"/><Relationship Id="rId12" Type="http://schemas.openxmlformats.org/officeDocument/2006/relationships/image" Target="media/image4.webp"/><Relationship Id="rId13" Type="http://schemas.openxmlformats.org/officeDocument/2006/relationships/image" Target="media/image5.webp"/><Relationship Id="rId14" Type="http://schemas.openxmlformats.org/officeDocument/2006/relationships/image" Target="media/image6.webp"/><Relationship Id="rId15" Type="http://schemas.openxmlformats.org/officeDocument/2006/relationships/image" Target="media/image7.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