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  <w:jc w:val="center"/>
      </w:pPr>
      <w:r>
        <w:rPr>
          <w:rFonts w:ascii="Aptos" w:hAnsi="Aptos" w:eastAsia="DengXian" w:cs="DengXian"/>
          <w:b/>
          <w:color w:val="5B6777"/>
          <w:sz w:val="19"/>
        </w:rPr>
        <w:t>第十一届（2026年）中国高校计算机大赛—移动应用创新赛</w:t>
      </w:r>
    </w:p>
    <w:p>
      <w:pPr>
        <w:spacing w:before="0" w:after="140" w:line="240" w:lineRule="auto"/>
        <w:jc w:val="center"/>
      </w:pPr>
      <w:r>
        <w:rPr>
          <w:rFonts w:ascii="Aptos" w:hAnsi="Aptos" w:eastAsia="DengXian" w:cs="DengXian"/>
          <w:b/>
          <w:color w:val="7149D6"/>
          <w:sz w:val="24"/>
        </w:rPr>
        <w:t>复赛作品说明文档</w:t>
      </w:r>
    </w:p>
    <w:p>
      <w:pPr>
        <w:spacing w:before="0" w:after="100" w:line="259" w:lineRule="auto"/>
        <w:jc w:val="center"/>
      </w:pPr>
      <w:r>
        <w:rPr>
          <w:rFonts w:ascii="Aptos" w:hAnsi="Aptos" w:eastAsia="DengXian" w:cs="DengXian"/>
          <w:b/>
          <w:color w:val="162437"/>
          <w:sz w:val="50"/>
        </w:rPr>
        <w:t>DayGlyph 日迹</w:t>
      </w:r>
    </w:p>
    <w:p>
      <w:pPr>
        <w:spacing w:before="0" w:after="140" w:line="269" w:lineRule="auto"/>
        <w:jc w:val="center"/>
      </w:pPr>
      <w:r>
        <w:rPr>
          <w:rFonts w:ascii="Aptos" w:hAnsi="Aptos" w:eastAsia="DengXian" w:cs="DengXian"/>
          <w:b/>
          <w:color w:val="2E74B5"/>
          <w:sz w:val="28"/>
        </w:rPr>
        <w:t>可解释情绪计算与受控自进化记忆驱动的长期自我观察系统</w:t>
      </w:r>
    </w:p>
    <w:p>
      <w:pPr>
        <w:spacing w:before="0" w:after="200" w:line="240" w:lineRule="auto"/>
        <w:jc w:val="center"/>
      </w:pPr>
      <w:r>
        <w:rPr>
          <w:rFonts w:ascii="Aptos" w:hAnsi="Aptos" w:eastAsia="DengXian" w:cs="DengXian"/>
          <w:b/>
          <w:color w:val="E54677"/>
          <w:sz w:val="18"/>
        </w:rPr>
        <w:t>细粒度情绪建模  /  双视觉签名  /  反馈记忆  /  本地优先  /  非医疗化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94760" cy="5363021"/>
            <wp:docPr id="1" name="Picture 1" title="图 1  DayGlyph 复赛作品视觉：一句话记录、情绪印记、微行动与延迟回声" descr="图 1  DayGlyph 复赛作品视觉：一句话记录、情绪印记、微行动与延迟回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Glyph 宣传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36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0"/>
        <w:jc w:val="center"/>
      </w:pPr>
      <w:r>
        <w:rPr>
          <w:rFonts w:ascii="Aptos" w:hAnsi="Aptos" w:eastAsia="DengXian" w:cs="DengXian"/>
          <w:color w:val="5B6777"/>
          <w:sz w:val="17"/>
        </w:rPr>
        <w:t>图 1  DayGlyph 复赛作品视觉：一句话记录、情绪印记、微行动与延迟回声</w:t>
      </w:r>
    </w:p>
    <w:p>
      <w:r>
        <w:br w:type="page"/>
      </w:r>
    </w:p>
    <w:p>
      <w:pPr>
        <w:pStyle w:val="Heading1"/>
      </w:pPr>
      <w:r>
        <w:t>1、问题背景与用户分析（约200字）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90665"/>
            <wp:docPr id="2" name="Picture 2" title="图 2  用户问题结构：叠加压力、模糊感受与低门槛自我观察需求" descr="图 2  用户问题结构：叠加压力、模糊感受与低门槛自我观察需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-background-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00"/>
        <w:jc w:val="center"/>
      </w:pPr>
      <w:r>
        <w:rPr>
          <w:rFonts w:ascii="Aptos" w:hAnsi="Aptos" w:eastAsia="DengXian" w:cs="DengXian"/>
          <w:color w:val="5B6777"/>
          <w:sz w:val="17"/>
        </w:rPr>
        <w:t>图 2  用户问题结构：叠加压力、模糊感受与低门槛自我观察需求</w:t>
      </w:r>
    </w:p>
    <w:p>
      <w:pPr>
        <w:spacing w:before="0" w:after="160" w:line="320" w:lineRule="auto"/>
        <w:jc w:val="both"/>
      </w:pPr>
      <w:r>
        <w:rPr>
          <w:rFonts w:ascii="Aptos" w:hAnsi="Aptos" w:eastAsia="DengXian" w:cs="DengXian"/>
          <w:color w:val="162437"/>
          <w:sz w:val="21"/>
        </w:rPr>
        <w:t>高校学生与年轻职场人长期处在学业、实习、关系、家庭期待和自我评价叠加的压力场中。WHO 2025 年资料显示，全球近 1/7 人口正与心理障碍共处[1]；但 DayGlyph 聚焦的是更广泛、非临床的日常自我观察需求。传统长日记在疲惫时启动成本高，单选心情或“好/坏”量表又会压平欣慰与疲惫、期待与担忧并存的真实体验。细粒度情绪研究表明，人们区分相近情绪的能力具有重要观察价值，重复的日常记录也可能促进更细致的情绪辨认[4][5]。因此，用户真正需要的不是更多诊断、任务与打卡，而是一个足够轻、可信任、能把“一句话”沉淀为长期线索的入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E3F1"/>
          <w:left w:val="single" w:sz="5" w:space="0" w:color="D8E3F1"/>
          <w:bottom w:val="single" w:sz="5" w:space="0" w:color="D8E3F1"/>
          <w:right w:val="single" w:sz="5" w:space="0" w:color="D8E3F1"/>
          <w:insideH w:val="single" w:sz="5" w:space="0" w:color="D8E3F1"/>
          <w:insideV w:val="single" w:sz="5" w:space="0" w:color="D8E3F1"/>
        </w:tblBorders>
      </w:tblPr>
      <w:tblGrid>
        <w:gridCol w:w="1600"/>
        <w:gridCol w:w="7760"/>
      </w:tblGrid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B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2E74B5"/>
                <w:sz w:val="18"/>
              </w:rPr>
              <w:t>需求定义</w:t>
            </w:r>
          </w:p>
        </w:tc>
        <w:tc>
          <w:tcPr>
            <w:tcW w:type="dxa" w:w="7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B"/>
          </w:tcPr>
          <w:p>
            <w:pPr>
              <w:spacing w:before="0" w:after="0" w:line="276" w:lineRule="auto"/>
            </w:pPr>
            <w:r>
              <w:rPr>
                <w:rFonts w:ascii="Aptos" w:hAnsi="Aptos" w:eastAsia="DengXian" w:cs="DengXian"/>
                <w:b/>
                <w:color w:val="162437"/>
                <w:sz w:val="18"/>
              </w:rPr>
              <w:t>不是再做一张情绪量表，而是在表达能力最低的时候，仍能完成一次低成本、可积累的自我观察。</w:t>
            </w:r>
          </w:p>
        </w:tc>
      </w:tr>
    </w:tbl>
    <w:p>
      <w:pPr>
        <w:spacing w:after="0"/>
      </w:pPr>
    </w:p>
    <w:p>
      <w:pPr>
        <w:pStyle w:val="Heading1"/>
      </w:pPr>
      <w:r>
        <w:t>2、相关竞品分析（约200字）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096770"/>
            <wp:docPr id="3" name="Picture 3" title="图 3  同类产品界面样本：从手动选择、引导练习到自然语言情绪计算" descr="图 3  同类产品界面样本：从手动选择、引导练习到自然语言情绪计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final-competitor-str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00"/>
        <w:jc w:val="center"/>
      </w:pPr>
      <w:r>
        <w:rPr>
          <w:rFonts w:ascii="Aptos" w:hAnsi="Aptos" w:eastAsia="DengXian" w:cs="DengXian"/>
          <w:color w:val="5B6777"/>
          <w:sz w:val="17"/>
        </w:rPr>
        <w:t>图 3  同类产品界面样本：从手动选择、引导练习到自然语言情绪计算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CE3EC"/>
          <w:left w:val="single" w:sz="5" w:space="0" w:color="DCE3EC"/>
          <w:bottom w:val="single" w:sz="5" w:space="0" w:color="DCE3EC"/>
          <w:right w:val="single" w:sz="5" w:space="0" w:color="DCE3EC"/>
          <w:insideH w:val="single" w:sz="5" w:space="0" w:color="DCE3EC"/>
          <w:insideV w:val="single" w:sz="5" w:space="0" w:color="DCE3EC"/>
        </w:tblBorders>
      </w:tblPr>
      <w:tblGrid>
        <w:gridCol w:w="1350"/>
        <w:gridCol w:w="1800"/>
        <w:gridCol w:w="2100"/>
        <w:gridCol w:w="2050"/>
        <w:gridCol w:w="2060"/>
      </w:tblGrid>
      <w:tr>
        <w:trPr>
          <w:tblHeader/>
        </w:trPr>
        <w:tc>
          <w:tcPr>
            <w:tcW w:type="dxa" w:w="13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产品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输入方式</w:t>
            </w:r>
          </w:p>
        </w:tc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情绪表示</w:t>
            </w:r>
          </w:p>
        </w:tc>
        <w:tc>
          <w:tcPr>
            <w:tcW w:type="dxa" w:w="2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长期闭环</w:t>
            </w:r>
          </w:p>
        </w:tc>
        <w:tc>
          <w:tcPr>
            <w:tcW w:type="dxa" w:w="2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核心差异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Daylio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表情 + 活动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离散心情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统计与相关图表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极低记录成本</w:t>
            </w:r>
          </w:p>
        </w:tc>
      </w:tr>
      <w:tr>
        <w:tc>
          <w:tcPr>
            <w:tcW w:type="dxa" w:w="135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Reflectly / Stoic</w:t>
            </w:r>
          </w:p>
        </w:tc>
        <w:tc>
          <w:tcPr>
            <w:tcW w:type="dxa" w:w="18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引导问题 / 模板</w:t>
            </w:r>
          </w:p>
        </w:tc>
        <w:tc>
          <w:tcPr>
            <w:tcW w:type="dxa" w:w="21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叙事或自评</w:t>
            </w:r>
          </w:p>
        </w:tc>
        <w:tc>
          <w:tcPr>
            <w:tcW w:type="dxa" w:w="205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练习与回顾</w:t>
            </w:r>
          </w:p>
        </w:tc>
        <w:tc>
          <w:tcPr>
            <w:tcW w:type="dxa" w:w="206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结构化自我照护</w:t>
            </w:r>
          </w:p>
        </w:tc>
      </w:tr>
      <w:t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Apple State of Mind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滑杆 + 词项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标准化状态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历史与关联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系统级健康入口</w:t>
            </w:r>
          </w:p>
        </w:tc>
      </w:tr>
      <w:tr>
        <w:tc>
          <w:tcPr>
            <w:tcW w:type="dxa" w:w="135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DayGlyph</w:t>
            </w:r>
          </w:p>
        </w:tc>
        <w:tc>
          <w:tcPr>
            <w:tcW w:type="dxa" w:w="18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一句自然语言</w:t>
            </w:r>
          </w:p>
        </w:tc>
        <w:tc>
          <w:tcPr>
            <w:tcW w:type="dxa" w:w="21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1～8 情绪 → 12 锚点 + VAD</w:t>
            </w:r>
          </w:p>
        </w:tc>
        <w:tc>
          <w:tcPr>
            <w:tcW w:type="dxa" w:w="205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双视觉 + 行动回声 + 宇宙</w:t>
            </w:r>
          </w:p>
        </w:tc>
        <w:tc>
          <w:tcPr>
            <w:tcW w:type="dxa" w:w="206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可解释、本地优先、低压力</w:t>
            </w:r>
          </w:p>
        </w:tc>
      </w:tr>
    </w:tbl>
    <w:p>
      <w:pPr>
        <w:spacing w:before="80" w:after="120" w:line="240" w:lineRule="auto"/>
      </w:pPr>
    </w:p>
    <w:p>
      <w:pPr>
        <w:spacing w:before="0" w:after="60" w:line="320" w:lineRule="auto"/>
        <w:jc w:val="both"/>
      </w:pPr>
      <w:r>
        <w:rPr>
          <w:rFonts w:ascii="Aptos" w:hAnsi="Aptos" w:eastAsia="DengXian" w:cs="DengXian"/>
          <w:color w:val="162437"/>
          <w:sz w:val="21"/>
        </w:rPr>
        <w:t>Daylio 以表情和活动标签实现两步记录，优势是轻量统计，但复杂中文感受仍需用户先自我归类[8]；Reflectly、Stoic 强调 AI 提问、模板与练习，容易把体验组织为“完成任务”；Apple 健康 State of Mind 具备系统级记录与关联图表，但入口仍是情绪滑杆、词项和影响因素选择[9]。DayGlyph 选择不同的技术路线：自然语言先进入 1～8 个细粒度情绪，再投影到 12 个锚点与 VAD 连续空间；同一向量同时驱动双视觉签名、微行动、回声和长期趋势。与“记录后给图表”相比，它把理解、表达、行动与回顾连接为闭环；日记、版本、行动和回声默认留在本机，用户可跳过、可删除、不受连续签到惩罚。</w:t>
      </w:r>
    </w:p>
    <w:p>
      <w:pPr>
        <w:keepNext/>
        <w:keepLines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705735"/>
            <wp:docPr id="4" name="Picture 4" title="图 4  DayGlyph 今日页：情绪结构、双视觉、微行动与支持内容在同一链路呈现" descr="图 4  DayGlyph 今日页：情绪结构、双视觉、微行动与支持内容在同一链路呈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toda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40"/>
        <w:jc w:val="center"/>
      </w:pPr>
      <w:r>
        <w:rPr>
          <w:rFonts w:ascii="Aptos" w:hAnsi="Aptos" w:eastAsia="DengXian" w:cs="DengXian"/>
          <w:color w:val="5B6777"/>
          <w:sz w:val="17"/>
        </w:rPr>
        <w:t>图 4  DayGlyph 今日页：情绪结构、双视觉、微行动与支持内容在同一链路呈现</w:t>
      </w:r>
    </w:p>
    <w:p>
      <w:pPr>
        <w:pStyle w:val="Heading1"/>
      </w:pPr>
      <w:r>
        <w:t>3、可行性分析（约300字）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612898"/>
            <wp:docPr id="5" name="Picture 5" title="图 5  从自然语言到长期回顾的可解释情绪编译算法" descr="图 5  从自然语言到长期回顾的可解释情绪编译算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final-algorithm-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00"/>
        <w:jc w:val="center"/>
      </w:pPr>
      <w:r>
        <w:rPr>
          <w:rFonts w:ascii="Aptos" w:hAnsi="Aptos" w:eastAsia="DengXian" w:cs="DengXian"/>
          <w:color w:val="5B6777"/>
          <w:sz w:val="17"/>
        </w:rPr>
        <w:t>图 5  从自然语言到长期回顾的可解释情绪编译算法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CE3EC"/>
          <w:left w:val="single" w:sz="5" w:space="0" w:color="DCE3EC"/>
          <w:bottom w:val="single" w:sz="5" w:space="0" w:color="DCE3EC"/>
          <w:right w:val="single" w:sz="5" w:space="0" w:color="DCE3EC"/>
          <w:insideH w:val="single" w:sz="5" w:space="0" w:color="DCE3EC"/>
          <w:insideV w:val="single" w:sz="5" w:space="0" w:color="DCE3EC"/>
        </w:tblBorders>
      </w:tblPr>
      <w:tblGrid>
        <w:gridCol w:w="1500"/>
        <w:gridCol w:w="2200"/>
        <w:gridCol w:w="3150"/>
        <w:gridCol w:w="2510"/>
      </w:tblGrid>
      <w:tr>
        <w:trPr>
          <w:tblHeader/>
        </w:trPr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核心输入</w:t>
            </w:r>
          </w:p>
        </w:tc>
        <w:tc>
          <w:tcPr>
            <w:tcW w:type="dxa" w:w="31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确定性约束</w:t>
            </w:r>
          </w:p>
        </w:tc>
        <w:tc>
          <w:tcPr>
            <w:tcW w:type="dxa" w:w="25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可验证输出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结构化理解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一句话文本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1～8 项、受控词库、原文证据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细粒度情绪 + 连续维度</w:t>
            </w:r>
          </w:p>
        </w:tc>
      </w:tr>
      <w:tr>
        <w:tc>
          <w:tcPr>
            <w:tcW w:type="dxa" w:w="15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锚点投影</w:t>
            </w:r>
          </w:p>
        </w:tc>
        <w:tc>
          <w:tcPr>
            <w:tcW w:type="dxa" w:w="22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情绪族与强度</w:t>
            </w:r>
          </w:p>
        </w:tc>
        <w:tc>
          <w:tcPr>
            <w:tcW w:type="dxa" w:w="315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聚合、归一化、范围 clamp</w:t>
            </w:r>
          </w:p>
        </w:tc>
        <w:tc>
          <w:tcPr>
            <w:tcW w:type="dxa" w:w="251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12 维权重 + VAD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视觉编译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z、w、稳定 seed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固定公式与共享视觉方向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鸡尾酒 + 日星球</w:t>
            </w:r>
          </w:p>
        </w:tc>
      </w:tr>
      <w:tr>
        <w:tc>
          <w:tcPr>
            <w:tcW w:type="dxa" w:w="15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反馈聚合</w:t>
            </w:r>
          </w:p>
        </w:tc>
        <w:tc>
          <w:tcPr>
            <w:tcW w:type="dxa" w:w="22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行动与回声</w:t>
            </w:r>
          </w:p>
        </w:tc>
        <w:tc>
          <w:tcPr>
            <w:tcW w:type="dxa" w:w="315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n≥3、只报告分布、不推断因果</w:t>
            </w:r>
          </w:p>
        </w:tc>
        <w:tc>
          <w:tcPr>
            <w:tcW w:type="dxa" w:w="251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个人历史发现</w:t>
            </w:r>
          </w:p>
        </w:tc>
      </w:tr>
    </w:tbl>
    <w:p>
      <w:pPr>
        <w:spacing w:before="80" w:after="120" w:line="240" w:lineRule="auto"/>
      </w:pPr>
    </w:p>
    <w:p>
      <w:pPr>
        <w:spacing w:before="0" w:after="100" w:line="320" w:lineRule="auto"/>
        <w:jc w:val="both"/>
      </w:pPr>
      <w:r>
        <w:rPr>
          <w:rFonts w:ascii="Aptos" w:hAnsi="Aptos" w:eastAsia="DengXian" w:cs="DengXian"/>
          <w:color w:val="162437"/>
          <w:sz w:val="21"/>
        </w:rPr>
        <w:t>DayGlyph 已形成端到端 iOS 原型。Seed 2.0 Lite 将输入解析为情绪词、所属情绪族、强度、置信度、原文证据及 VAD 等连续维度；GenerationSchemaValidator 再校验 1～8 项数量、受控词库、数值区间、禁止诊断词与风险冲突。映射层按情绪族聚合并归一化权重：w_k = Σ intensity_i / Σ intensity_j，得到 12 维锚点分布；z=(V,A,D) 与 w 共同进入固定参数的 GlyphSignature，把效价映射到轨迹方向、唤醒度映射到节奏密度、掌控感映射到核心尺度，再以 hash(文本, 日期) 约束微扰，保证同文同日稳定。DayGenerationOrchestrator 以状态机编排“安全预检—结构化理解—Schema 校验—文字先展示—双图并行—本地保存—单图重试”，任一图片失败不阻塞另一项。SwiftData 保存日记与生成版本，图片落本地；趋势和回声由纯逻辑聚合器计算，并配套 Swift Testing、UI 测试、VoiceOver、减少动态与二维降级。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397"/>
            <wp:docPr id="6" name="Picture 6" title="图 6  工程闭环：状态机编排、双图并发、本地持久化与可访问降级" descr="图 6  工程闭环：状态机编排、双图并发、本地持久化与可访问降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sibility-architecture-a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60"/>
        <w:jc w:val="center"/>
      </w:pPr>
      <w:r>
        <w:rPr>
          <w:rFonts w:ascii="Aptos" w:hAnsi="Aptos" w:eastAsia="DengXian" w:cs="DengXian"/>
          <w:color w:val="5B6777"/>
          <w:sz w:val="17"/>
        </w:rPr>
        <w:t>图 6  工程闭环：状态机编排、双图并发、本地持久化与可访问降级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CE3EC"/>
          <w:left w:val="single" w:sz="5" w:space="0" w:color="DCE3EC"/>
          <w:bottom w:val="single" w:sz="5" w:space="0" w:color="DCE3EC"/>
          <w:right w:val="single" w:sz="5" w:space="0" w:color="DCE3EC"/>
          <w:insideH w:val="single" w:sz="5" w:space="0" w:color="DCE3EC"/>
          <w:insideV w:val="single" w:sz="5" w:space="0" w:color="DCE3EC"/>
        </w:tblBorders>
      </w:tblPr>
      <w:tblGrid>
        <w:gridCol w:w="1650"/>
        <w:gridCol w:w="3400"/>
        <w:gridCol w:w="4310"/>
      </w:tblGrid>
      <w:tr>
        <w:trPr>
          <w:tblHeader/>
        </w:trPr>
        <w:tc>
          <w:tcPr>
            <w:tcW w:type="dxa" w:w="16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工程能力</w:t>
            </w:r>
          </w:p>
        </w:tc>
        <w:tc>
          <w:tcPr>
            <w:tcW w:type="dxa" w:w="3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代码级证据</w:t>
            </w:r>
          </w:p>
        </w:tc>
        <w:tc>
          <w:tcPr>
            <w:tcW w:type="dxa" w:w="43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失败 / 降级策略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生成编排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DayGenerationOrchestrator 状态机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单图独立重试；重启后补齐未保存资源</w:t>
            </w:r>
          </w:p>
        </w:tc>
      </w:tr>
      <w:tr>
        <w:tc>
          <w:tcPr>
            <w:tcW w:type="dxa" w:w="165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可信输出</w:t>
            </w:r>
          </w:p>
        </w:tc>
        <w:tc>
          <w:tcPr>
            <w:tcW w:type="dxa" w:w="34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SchemaValidator + SafetyPrescreen</w:t>
            </w:r>
          </w:p>
        </w:tc>
        <w:tc>
          <w:tcPr>
            <w:tcW w:type="dxa" w:w="431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字段非法回退；高风险在生图前短路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历史稳定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generationID + 版本 + 稳定 seed</w:t>
            </w:r>
          </w:p>
        </w:tc>
        <w:tc>
          <w:tcPr>
            <w:tcW w:type="dxa" w:w="4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历史不静默重算；同文同日稳定</w:t>
            </w:r>
          </w:p>
        </w:tc>
      </w:tr>
      <w:tr>
        <w:tc>
          <w:tcPr>
            <w:tcW w:type="dxa" w:w="165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可访问性</w:t>
            </w:r>
          </w:p>
        </w:tc>
        <w:tc>
          <w:tcPr>
            <w:tcW w:type="dxa" w:w="34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VoiceOver + 减少动态 + 二维列表</w:t>
            </w:r>
          </w:p>
        </w:tc>
        <w:tc>
          <w:tcPr>
            <w:tcW w:type="dxa" w:w="431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RealityKit 不可用时仍可完整浏览</w:t>
            </w:r>
          </w:p>
        </w:tc>
      </w:tr>
    </w:tbl>
    <w:p>
      <w:pPr>
        <w:spacing w:before="80" w:after="120" w:line="240" w:lineRule="auto"/>
      </w:pPr>
    </w:p>
    <w:p>
      <w:r>
        <w:br w:type="page"/>
      </w:r>
    </w:p>
    <w:p>
      <w:pPr>
        <w:pStyle w:val="Heading1"/>
      </w:pPr>
      <w:r>
        <w:t>4、App创新点（约300字）</w:t>
      </w:r>
    </w:p>
    <w:p>
      <w:pPr>
        <w:keepNext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2800350"/>
            <wp:docPr id="7" name="Picture 7" title="图 7  同一次情绪结构生成的鸡尾酒—日星球双视觉签名示例：左侧为情绪鸡尾酒" descr="图 7  同一次情绪结构生成的鸡尾酒—日星球双视觉签名示例：左侧为情绪鸡尾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1-cocktail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800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eastAsia="DengXian" w:cs="DengXian"/>
          <w:sz w:val="12"/>
        </w:rPr>
        <w:t xml:space="preserve">      </w:t>
      </w:r>
      <w:r>
        <w:drawing>
          <wp:inline xmlns:a="http://schemas.openxmlformats.org/drawingml/2006/main" xmlns:pic="http://schemas.openxmlformats.org/drawingml/2006/picture">
            <wp:extent cx="2240280" cy="2240280"/>
            <wp:docPr id="8" name="Picture 8" title="图 7  同一次情绪结构生成的鸡尾酒—日星球双视觉签名示例：右侧为日星球" descr="图 7  同一次情绪结构生成的鸡尾酒—日星球双视觉签名示例：右侧为日星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1-planet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Aptos" w:hAnsi="Aptos" w:eastAsia="DengXian" w:cs="DengXian"/>
          <w:color w:val="5B6777"/>
          <w:sz w:val="17"/>
        </w:rPr>
        <w:t>图 7  同一次情绪结构生成的鸡尾酒—日星球双视觉签名示例</w:t>
      </w:r>
    </w:p>
    <w:p>
      <w:pPr>
        <w:spacing w:before="0" w:after="100" w:line="320" w:lineRule="auto"/>
        <w:jc w:val="both"/>
      </w:pPr>
      <w:r>
        <w:rPr>
          <w:rFonts w:ascii="Aptos" w:hAnsi="Aptos" w:eastAsia="DengXian" w:cs="DengXian"/>
          <w:color w:val="162437"/>
          <w:sz w:val="21"/>
        </w:rPr>
        <w:t>DayGlyph 的创新不是“给日记加 AI”，而是构建一套可解释、可复现、可演进的情绪编译系统。其一，“离散锚点 + 连续 VAD”双空间同时保留情绪语义与可计算几何，避免单标签丢失混合情绪；细粒度文本情绪研究也支持多类别表达的必要性[6]。其二，提出“语义—视觉同构”：鸡尾酒与日星球共享色板、温度、密度和光线约束，形成可追溯的双视觉签名，而非两次无关生图。其三，以“记录—微行动—延迟回声—统计发现”构成反馈闭环；当前仅在同类样本不少于 3 次时呈现分布，不把相关性写成疗效。其四，规划受控自进化记忆：借鉴分层记忆与反思式管理研究[7]，将每日事件、跨期摘要和用户确认偏好分层，只对可验证节点执行 ADD、UPDATE、DECAY、DELETE；记忆可查看、可撤回，原文不作为隐藏人格标签。其五，把安全做成算法分支：高风险输入在生图前短路，普通低落不被医疗化，所有历史版本保持稳定。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811539"/>
            <wp:docPr id="9" name="Picture 9" title="图 8  受控自进化记忆：已实现基础与复赛演进边界" descr="图 8  受控自进化记忆：已实现基础与复赛演进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final-memory-evol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1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00"/>
        <w:jc w:val="center"/>
      </w:pPr>
      <w:r>
        <w:rPr>
          <w:rFonts w:ascii="Aptos" w:hAnsi="Aptos" w:eastAsia="DengXian" w:cs="DengXian"/>
          <w:color w:val="5B6777"/>
          <w:sz w:val="17"/>
        </w:rPr>
        <w:t>图 8  受控自进化记忆：已实现基础与复赛演进边界</w:t>
      </w:r>
    </w:p>
    <w:p>
      <w:r>
        <w:br w:type="page"/>
      </w:r>
    </w:p>
    <w:p>
      <w:pPr>
        <w:pStyle w:val="Heading1"/>
      </w:pPr>
      <w:r>
        <w:t>5、应用前景（约200字）</w:t>
      </w:r>
    </w:p>
    <w:p>
      <w:pPr>
        <w:keepNext/>
        <w:keepLines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397"/>
            <wp:docPr id="10" name="Picture 10" title="图 9  产品路径：核心人群验证、跨设备延伸与长期技术资产" descr="图 9  产品路径：核心人群验证、跨设备延伸与长期技术资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pect-roadmap-a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00"/>
        <w:jc w:val="center"/>
      </w:pPr>
      <w:r>
        <w:rPr>
          <w:rFonts w:ascii="Aptos" w:hAnsi="Aptos" w:eastAsia="DengXian" w:cs="DengXian"/>
          <w:color w:val="5B6777"/>
          <w:sz w:val="17"/>
        </w:rPr>
        <w:t>图 9  产品路径：核心人群验证、跨设备延伸与长期技术资产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CE3EC"/>
          <w:left w:val="single" w:sz="5" w:space="0" w:color="DCE3EC"/>
          <w:bottom w:val="single" w:sz="5" w:space="0" w:color="DCE3EC"/>
          <w:right w:val="single" w:sz="5" w:space="0" w:color="DCE3EC"/>
          <w:insideH w:val="single" w:sz="5" w:space="0" w:color="DCE3EC"/>
          <w:insideV w:val="single" w:sz="5" w:space="0" w:color="DCE3EC"/>
        </w:tblBorders>
      </w:tblPr>
      <w:tblGrid>
        <w:gridCol w:w="1200"/>
        <w:gridCol w:w="2600"/>
        <w:gridCol w:w="3260"/>
        <w:gridCol w:w="2300"/>
      </w:tblGrid>
      <w:tr>
        <w:trPr>
          <w:tblHeader/>
        </w:trPr>
        <w:tc>
          <w:tcPr>
            <w:tcW w:type="dxa" w:w="1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产品目标</w:t>
            </w:r>
          </w:p>
        </w:tc>
        <w:tc>
          <w:tcPr>
            <w:tcW w:type="dxa" w:w="3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算法 / 工程重点</w:t>
            </w:r>
          </w:p>
        </w:tc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DengXian" w:cs="DengXian"/>
                <w:b/>
                <w:color w:val="1F4D78"/>
                <w:sz w:val="16"/>
              </w:rPr>
              <w:t>价值验证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近期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iPhone 核心闭环稳定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离线降级、可解释评测、真机性能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完成率与回访意愿</w:t>
            </w:r>
          </w:p>
        </w:tc>
      </w:tr>
      <w:tr>
        <w:tc>
          <w:tcPr>
            <w:tcW w:type="dxa" w:w="12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中期</w:t>
            </w:r>
          </w:p>
        </w:tc>
        <w:tc>
          <w:tcPr>
            <w:tcW w:type="dxa" w:w="26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iPad / Watch / 年度报告</w:t>
            </w:r>
          </w:p>
        </w:tc>
        <w:tc>
          <w:tcPr>
            <w:tcW w:type="dxa" w:w="326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端侧模型、跨设备同步边界</w:t>
            </w:r>
          </w:p>
        </w:tc>
        <w:tc>
          <w:tcPr>
            <w:tcW w:type="dxa" w:w="2300"/>
            <w:shd w:fill="FAFB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留存与付费意愿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/>
                <w:color w:val="162437"/>
                <w:sz w:val="16"/>
              </w:rPr>
              <w:t>长期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用户可控的个人情绪资产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中文词库、视觉编码、记忆协议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 w:eastAsia="DengXian" w:cs="DengXian"/>
                <w:b w:val="0"/>
                <w:color w:val="162437"/>
                <w:sz w:val="16"/>
              </w:rPr>
              <w:t>可信个性化壁垒</w:t>
            </w:r>
          </w:p>
        </w:tc>
      </w:tr>
    </w:tbl>
    <w:p>
      <w:pPr>
        <w:spacing w:before="80" w:after="120" w:line="240" w:lineRule="auto"/>
      </w:pPr>
    </w:p>
    <w:p>
      <w:pPr>
        <w:spacing w:before="0" w:after="100" w:line="320" w:lineRule="auto"/>
        <w:jc w:val="both"/>
      </w:pPr>
      <w:r>
        <w:rPr>
          <w:rFonts w:ascii="Aptos" w:hAnsi="Aptos" w:eastAsia="DengXian" w:cs="DengXian"/>
          <w:color w:val="162437"/>
          <w:sz w:val="21"/>
        </w:rPr>
        <w:t>Grand View Research 预计全球心理健康 App 市场将由 2024 年约 74.8 亿美元增长至 2030 年约 175.2 亿美元[10]。在增长与信任赤字并存的市场中，DayGlyph 不与诊疗产品竞争，而切入高校学生、独立创作者和年轻职场人的日常情绪记录，并可作为咨询前自述、校园活动和个人年度回顾的低压力辅助工具。近期完善真机稳定性、离线降级与可解释评测；中期扩展 iPad、Apple Watch、年度报告及端侧模型；长期形成“中文情绪词库 + 可解释视觉编码 + 用户可控记忆协议”的技术资产。其商业价值来自高复访的个人数据沉淀与跨设备订阅，社会价值则是让更多人在需要专业帮助之前或之外，拥有一个不评判、可持续、守住数据主权的自我观察入口。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[1] </w:t>
      </w:r>
      <w:r>
        <w:rPr>
          <w:rFonts w:ascii="Aptos" w:hAnsi="Aptos" w:eastAsia="DengXian" w:cs="DengXian"/>
          <w:color w:val="162437"/>
          <w:sz w:val="16"/>
        </w:rPr>
        <w:t xml:space="preserve">World Health Organization. Mental disorders[EB/OL], 2025. </w:t>
      </w:r>
      <w:hyperlink r:id="rId21">
        <w:r>
          <w:rPr>
            <w:color w:val="2E74B5"/>
            <w:u w:val="single"/>
          </w:rPr>
          <w:t>WHO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[2] </w:t>
      </w:r>
      <w:r>
        <w:rPr>
          <w:rFonts w:ascii="Aptos" w:hAnsi="Aptos" w:eastAsia="DengXian" w:cs="DengXian"/>
          <w:color w:val="162437"/>
          <w:sz w:val="16"/>
        </w:rPr>
        <w:t xml:space="preserve">Russell J A. A circumplex model of affect[J]. Journal of Personality and Social Psychology, 1980, 39(6): 1161-1178. </w:t>
      </w:r>
      <w:hyperlink r:id="rId22">
        <w:r>
          <w:rPr>
            <w:color w:val="2E74B5"/>
            <w:u w:val="single"/>
          </w:rPr>
          <w:t>DOI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[3] </w:t>
      </w:r>
      <w:r>
        <w:rPr>
          <w:rFonts w:ascii="Aptos" w:hAnsi="Aptos" w:eastAsia="DengXian" w:cs="DengXian"/>
          <w:color w:val="162437"/>
          <w:sz w:val="16"/>
        </w:rPr>
        <w:t xml:space="preserve">Bradley M M, Lang P J. Measuring emotion: The Self-Assessment Manikin and the semantic differential[J]. Journal of Behavior Therapy and Experimental Psychiatry, 1994, 25(1): 49-59. </w:t>
      </w:r>
      <w:hyperlink r:id="rId23">
        <w:r>
          <w:rPr>
            <w:color w:val="2E74B5"/>
            <w:u w:val="single"/>
          </w:rPr>
          <w:t>PubMed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[4] </w:t>
      </w:r>
      <w:r>
        <w:rPr>
          <w:rFonts w:ascii="Aptos" w:hAnsi="Aptos" w:eastAsia="DengXian" w:cs="DengXian"/>
          <w:color w:val="162437"/>
          <w:sz w:val="16"/>
        </w:rPr>
        <w:t xml:space="preserve">Hoemann K, Barrett L F, Quigley K S. Emotional Granularity Increases With Intensive Ambulatory Assessment[J]. Frontiers in Psychology, 2021. </w:t>
      </w:r>
      <w:hyperlink r:id="rId24">
        <w:r>
          <w:rPr>
            <w:color w:val="2E74B5"/>
            <w:u w:val="single"/>
          </w:rPr>
          <w:t>PMC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[5] </w:t>
      </w:r>
      <w:r>
        <w:rPr>
          <w:rFonts w:ascii="Aptos" w:hAnsi="Aptos" w:eastAsia="DengXian" w:cs="DengXian"/>
          <w:color w:val="162437"/>
          <w:sz w:val="16"/>
        </w:rPr>
        <w:t xml:space="preserve">Nook E C, et al. The Nonlinear Development of Emotion Differentiation[J]. Psychological Science, 2018, 29(8): 1346-1357. </w:t>
      </w:r>
      <w:hyperlink r:id="rId25">
        <w:r>
          <w:rPr>
            <w:color w:val="2E74B5"/>
            <w:u w:val="single"/>
          </w:rPr>
          <w:t>PMC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[6] </w:t>
      </w:r>
      <w:r>
        <w:rPr>
          <w:rFonts w:ascii="Aptos" w:hAnsi="Aptos" w:eastAsia="DengXian" w:cs="DengXian"/>
          <w:color w:val="162437"/>
          <w:sz w:val="16"/>
        </w:rPr>
        <w:t xml:space="preserve">Demszky D, et al. GoEmotions: A Dataset of Fine-Grained Emotions[C]. ACL, 2020: 4040-4054. </w:t>
      </w:r>
      <w:hyperlink r:id="rId26">
        <w:r>
          <w:rPr>
            <w:color w:val="2E74B5"/>
            <w:u w:val="single"/>
          </w:rPr>
          <w:t>ACL Anthology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[7] </w:t>
      </w:r>
      <w:r>
        <w:rPr>
          <w:rFonts w:ascii="Aptos" w:hAnsi="Aptos" w:eastAsia="DengXian" w:cs="DengXian"/>
          <w:color w:val="162437"/>
          <w:sz w:val="16"/>
        </w:rPr>
        <w:t xml:space="preserve">Tan Z, et al. In Prospect and Retrospect: Reflective Memory Management for Long-term Personalized Dialogue Agents[C]. ACL, 2025: 8416-8439. </w:t>
      </w:r>
      <w:hyperlink r:id="rId27">
        <w:r>
          <w:rPr>
            <w:color w:val="2E74B5"/>
            <w:u w:val="single"/>
          </w:rPr>
          <w:t>ACL Anthology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[8] </w:t>
      </w:r>
      <w:r>
        <w:rPr>
          <w:rFonts w:ascii="Aptos" w:hAnsi="Aptos" w:eastAsia="DengXian" w:cs="DengXian"/>
          <w:color w:val="162437"/>
          <w:sz w:val="16"/>
        </w:rPr>
        <w:t xml:space="preserve">Daylio. Mood Tracker and Micro Diary official website[EB/OL]. </w:t>
      </w:r>
      <w:hyperlink r:id="rId28">
        <w:r>
          <w:rPr>
            <w:color w:val="2E74B5"/>
            <w:u w:val="single"/>
          </w:rPr>
          <w:t>Daylio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[9] </w:t>
      </w:r>
      <w:r>
        <w:rPr>
          <w:rFonts w:ascii="Aptos" w:hAnsi="Aptos" w:eastAsia="DengXian" w:cs="DengXian"/>
          <w:color w:val="162437"/>
          <w:sz w:val="16"/>
        </w:rPr>
        <w:t xml:space="preserve">Apple. Log your state of mind in Health on iPhone[EB/OL]. </w:t>
      </w:r>
      <w:hyperlink r:id="rId29">
        <w:r>
          <w:rPr>
            <w:color w:val="2E74B5"/>
            <w:u w:val="single"/>
          </w:rPr>
          <w:t>Apple Support</w:t>
        </w:r>
      </w:hyperlink>
    </w:p>
    <w:p>
      <w:pPr>
        <w:spacing w:before="0" w:after="40" w:line="259" w:lineRule="auto"/>
        <w:ind w:left="403" w:hanging="403"/>
      </w:pPr>
      <w:r>
        <w:rPr>
          <w:rFonts w:ascii="Aptos" w:hAnsi="Aptos" w:eastAsia="DengXian" w:cs="DengXian"/>
          <w:b/>
          <w:color w:val="162437"/>
          <w:sz w:val="16"/>
        </w:rPr>
        <w:t xml:space="preserve">[10] </w:t>
      </w:r>
      <w:r>
        <w:rPr>
          <w:rFonts w:ascii="Aptos" w:hAnsi="Aptos" w:eastAsia="DengXian" w:cs="DengXian"/>
          <w:color w:val="162437"/>
          <w:sz w:val="16"/>
        </w:rPr>
        <w:t xml:space="preserve">Grand View Research. Mental Health Apps Market Size, Share &amp; Trends Analysis Report[EB/OL], 2026. </w:t>
      </w:r>
      <w:hyperlink r:id="rId30">
        <w:r>
          <w:rPr>
            <w:color w:val="2E74B5"/>
            <w:u w:val="single"/>
          </w:rPr>
          <w:t>Grand View Research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 w:eastAsia="DengXian" w:cs="DengXian"/>
        <w:color w:val="5B6777"/>
        <w:sz w:val="16"/>
      </w:rPr>
      <w:t xml:space="preserve">DayGlyph  ·  </w:t>
    </w:r>
    <w:r>
      <w:rPr>
        <w:rFonts w:ascii="Aptos" w:hAnsi="Aptos" w:eastAsia="DengXian" w:cs="DengXian"/>
        <w:color w:val="5B6777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ptos" w:hAnsi="Aptos" w:eastAsia="DengXian" w:cs="DengXian"/>
        <w:b/>
        <w:color w:val="5B6777"/>
        <w:sz w:val="16"/>
      </w:rPr>
      <w:t>DayGlyph 日迹  |  复赛作品说明文档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Aptos" w:hAnsi="Aptos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 w:eastAsia="DengXi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DengXian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Aptos" w:hAnsi="Aptos" w:eastAsia="DengXian"/>
      <w:b/>
      <w:bCs/>
      <w:color w:val="5B67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www.who.int/en/news-room/fact-sheets/detail/mental-disorders" TargetMode="External"/><Relationship Id="rId22" Type="http://schemas.openxmlformats.org/officeDocument/2006/relationships/hyperlink" Target="https://doi.org/10.1037/h0077714" TargetMode="External"/><Relationship Id="rId23" Type="http://schemas.openxmlformats.org/officeDocument/2006/relationships/hyperlink" Target="https://pubmed.ncbi.nlm.nih.gov/7962581/" TargetMode="External"/><Relationship Id="rId24" Type="http://schemas.openxmlformats.org/officeDocument/2006/relationships/hyperlink" Target="https://pmc.ncbi.nlm.nih.gov/articles/PMC8355493/" TargetMode="External"/><Relationship Id="rId25" Type="http://schemas.openxmlformats.org/officeDocument/2006/relationships/hyperlink" Target="https://pmc.ncbi.nlm.nih.gov/articles/PMC6088506/" TargetMode="External"/><Relationship Id="rId26" Type="http://schemas.openxmlformats.org/officeDocument/2006/relationships/hyperlink" Target="https://aclanthology.org/2020.acl-main.372/" TargetMode="External"/><Relationship Id="rId27" Type="http://schemas.openxmlformats.org/officeDocument/2006/relationships/hyperlink" Target="https://aclanthology.org/2025.acl-long.413/" TargetMode="External"/><Relationship Id="rId28" Type="http://schemas.openxmlformats.org/officeDocument/2006/relationships/hyperlink" Target="https://daylio.net/" TargetMode="External"/><Relationship Id="rId29" Type="http://schemas.openxmlformats.org/officeDocument/2006/relationships/hyperlink" Target="https://support.apple.com/guide/iphone/log-your-state-of-mind-iph6a6decb13/ios" TargetMode="External"/><Relationship Id="rId30" Type="http://schemas.openxmlformats.org/officeDocument/2006/relationships/hyperlink" Target="https://www.grandviewresearch.com/industry-analysis/mental-health-apps-marke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DayGlyph 日迹复赛作品说明文档</dc:title>
  <dc:subject>中国高校计算机大赛—移动应用创新赛复赛作品说明</dc:subject>
  <dc:creator>DayGlyph 项目组</dc:creator>
  <cp:keywords>DayGlyph, 情绪计算, 生成式视觉, 自进化记忆, iOS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