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right" w:pos="9070"/>
        </w:tabs>
        <w:spacing w:before="156" w:beforeLines="50" w:after="156" w:afterLines="50" w:line="360" w:lineRule="auto"/>
        <w:jc w:val="center"/>
        <w:rPr>
          <w:b/>
          <w:bCs/>
          <w:sz w:val="52"/>
        </w:rPr>
      </w:pPr>
      <w:r>
        <w:rPr>
          <w:b/>
          <w:bCs/>
          <w:sz w:val="52"/>
        </w:rPr>
        <w:drawing>
          <wp:inline distT="0" distB="0" distL="0" distR="0">
            <wp:extent cx="4393565" cy="819150"/>
            <wp:effectExtent l="0" t="0" r="6985"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393565" cy="819150"/>
                    </a:xfrm>
                    <a:prstGeom prst="rect">
                      <a:avLst/>
                    </a:prstGeom>
                    <a:noFill/>
                    <a:ln>
                      <a:noFill/>
                    </a:ln>
                  </pic:spPr>
                </pic:pic>
              </a:graphicData>
            </a:graphic>
          </wp:inline>
        </w:drawing>
      </w:r>
    </w:p>
    <w:p>
      <w:pPr>
        <w:spacing w:line="360" w:lineRule="auto"/>
        <w:jc w:val="center"/>
        <w:rPr>
          <w:sz w:val="52"/>
        </w:rPr>
      </w:pPr>
      <w:r>
        <w:rPr>
          <w:sz w:val="52"/>
        </w:rPr>
        <w:t>计算机与信息学院</w:t>
      </w:r>
    </w:p>
    <w:p>
      <w:pPr>
        <w:spacing w:line="360" w:lineRule="auto"/>
        <w:jc w:val="center"/>
        <w:rPr>
          <w:sz w:val="52"/>
        </w:rPr>
      </w:pPr>
    </w:p>
    <w:p>
      <w:pPr>
        <w:spacing w:line="360" w:lineRule="auto"/>
        <w:jc w:val="center"/>
        <w:rPr>
          <w:sz w:val="52"/>
          <w:szCs w:val="68"/>
        </w:rPr>
      </w:pPr>
      <w:r>
        <w:rPr>
          <w:sz w:val="52"/>
          <w:szCs w:val="68"/>
        </w:rPr>
        <w:t>认知实习报告</w:t>
      </w:r>
    </w:p>
    <w:p>
      <w:pPr>
        <w:jc w:val="center"/>
        <w:rPr>
          <w:sz w:val="84"/>
        </w:rPr>
      </w:pPr>
    </w:p>
    <w:p>
      <w:pPr>
        <w:jc w:val="center"/>
        <w:rPr>
          <w:sz w:val="84"/>
        </w:rPr>
      </w:pPr>
    </w:p>
    <w:p>
      <w:pPr>
        <w:ind w:firstLine="750"/>
      </w:pPr>
    </w:p>
    <w:tbl>
      <w:tblPr>
        <w:tblStyle w:val="9"/>
        <w:tblW w:w="7478" w:type="dxa"/>
        <w:jc w:val="center"/>
        <w:tblLayout w:type="autofit"/>
        <w:tblCellMar>
          <w:top w:w="0" w:type="dxa"/>
          <w:left w:w="108" w:type="dxa"/>
          <w:bottom w:w="0" w:type="dxa"/>
          <w:right w:w="108" w:type="dxa"/>
        </w:tblCellMar>
      </w:tblPr>
      <w:tblGrid>
        <w:gridCol w:w="2487"/>
        <w:gridCol w:w="4991"/>
      </w:tblGrid>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姓名</w:t>
            </w:r>
          </w:p>
        </w:tc>
        <w:tc>
          <w:tcPr>
            <w:tcW w:w="4991" w:type="dxa"/>
            <w:vAlign w:val="center"/>
          </w:tcPr>
          <w:p>
            <w:pPr>
              <w:spacing w:before="312" w:beforeLines="100"/>
              <w:rPr>
                <w:u w:val="single"/>
              </w:rPr>
            </w:pPr>
            <w:r>
              <w:rPr>
                <w:u w:val="single"/>
              </w:rPr>
              <w:t xml:space="preserve">               </w:t>
            </w:r>
            <w:r>
              <w:rPr>
                <w:sz w:val="24"/>
                <w:szCs w:val="24"/>
                <w:u w:val="single"/>
              </w:rPr>
              <w:t xml:space="preserve"> </w:t>
            </w:r>
            <w:r>
              <w:rPr>
                <w:rFonts w:hint="eastAsia"/>
                <w:sz w:val="24"/>
                <w:szCs w:val="24"/>
                <w:u w:val="single"/>
                <w:lang w:val="en-US" w:eastAsia="zh-CN"/>
              </w:rPr>
              <w:t>廖远康</w:t>
            </w:r>
            <w:r>
              <w:rPr>
                <w:sz w:val="24"/>
                <w:szCs w:val="24"/>
                <w:u w:val="single"/>
              </w:rPr>
              <w:t xml:space="preserve"> </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专业与班级</w:t>
            </w:r>
          </w:p>
        </w:tc>
        <w:tc>
          <w:tcPr>
            <w:tcW w:w="4991" w:type="dxa"/>
            <w:vAlign w:val="center"/>
          </w:tcPr>
          <w:p>
            <w:pPr>
              <w:spacing w:before="312" w:beforeLines="100"/>
              <w:rPr>
                <w:u w:val="single"/>
              </w:rPr>
            </w:pPr>
            <w:r>
              <w:rPr>
                <w:u w:val="single"/>
              </w:rPr>
              <w:t xml:space="preserve">         </w:t>
            </w:r>
            <w:r>
              <w:rPr>
                <w:rFonts w:hint="eastAsia"/>
                <w:sz w:val="24"/>
                <w:szCs w:val="24"/>
                <w:u w:val="single"/>
                <w:lang w:val="en-US" w:eastAsia="zh-CN"/>
              </w:rPr>
              <w:t>计算机科学与技术23-3班</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学号</w:t>
            </w:r>
          </w:p>
        </w:tc>
        <w:tc>
          <w:tcPr>
            <w:tcW w:w="4991" w:type="dxa"/>
            <w:vAlign w:val="center"/>
          </w:tcPr>
          <w:p>
            <w:pPr>
              <w:spacing w:before="312" w:beforeLines="100"/>
              <w:rPr>
                <w:u w:val="single"/>
              </w:rPr>
            </w:pPr>
            <w:r>
              <w:rPr>
                <w:u w:val="single"/>
              </w:rPr>
              <w:t xml:space="preserve">                 </w:t>
            </w:r>
            <w:r>
              <w:rPr>
                <w:rFonts w:hint="eastAsia" w:ascii="宋体" w:hAnsi="宋体" w:eastAsia="宋体" w:cs="宋体"/>
                <w:sz w:val="24"/>
                <w:szCs w:val="24"/>
                <w:u w:val="single"/>
                <w:lang w:val="en-US" w:eastAsia="zh-CN"/>
              </w:rPr>
              <w:t>2023212226</w:t>
            </w:r>
            <w:r>
              <w:rPr>
                <w:rFonts w:hint="eastAsia" w:ascii="宋体" w:hAnsi="宋体" w:eastAsia="宋体" w:cs="宋体"/>
                <w:sz w:val="24"/>
                <w:szCs w:val="24"/>
                <w:u w:val="single"/>
              </w:rPr>
              <w:t xml:space="preserve">  </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rPr>
                <w:sz w:val="30"/>
              </w:rPr>
            </w:pPr>
            <w:r>
              <w:rPr>
                <w:sz w:val="30"/>
              </w:rPr>
              <w:t>邮箱</w:t>
            </w:r>
          </w:p>
        </w:tc>
        <w:tc>
          <w:tcPr>
            <w:tcW w:w="4991" w:type="dxa"/>
            <w:vAlign w:val="center"/>
          </w:tcPr>
          <w:p>
            <w:pPr>
              <w:spacing w:before="312" w:beforeLines="100"/>
              <w:rPr>
                <w:u w:val="single"/>
              </w:rPr>
            </w:pPr>
            <w:r>
              <w:rPr>
                <w:u w:val="single"/>
              </w:rPr>
              <w:t xml:space="preserve">                </w:t>
            </w:r>
            <w:r>
              <w:rPr>
                <w:rFonts w:hint="eastAsia" w:ascii="宋体" w:hAnsi="宋体" w:eastAsia="宋体" w:cs="宋体"/>
                <w:sz w:val="24"/>
                <w:szCs w:val="24"/>
                <w:u w:val="single"/>
                <w:lang w:val="en-US" w:eastAsia="zh-CN"/>
              </w:rPr>
              <w:t>2987207369@qq.com</w:t>
            </w:r>
            <w:r>
              <w:rPr>
                <w:rFonts w:hint="eastAsia" w:ascii="宋体" w:hAnsi="宋体" w:eastAsia="宋体" w:cs="宋体"/>
                <w:sz w:val="24"/>
                <w:szCs w:val="24"/>
                <w:u w:val="single"/>
              </w:rPr>
              <w:t xml:space="preserve">  </w:t>
            </w:r>
            <w:r>
              <w:rPr>
                <w:u w:val="single"/>
              </w:rPr>
              <w:t xml:space="preserve">                  </w:t>
            </w:r>
          </w:p>
        </w:tc>
      </w:tr>
      <w:tr>
        <w:tblPrEx>
          <w:tblCellMar>
            <w:top w:w="0" w:type="dxa"/>
            <w:left w:w="108" w:type="dxa"/>
            <w:bottom w:w="0" w:type="dxa"/>
            <w:right w:w="108" w:type="dxa"/>
          </w:tblCellMar>
        </w:tblPrEx>
        <w:trPr>
          <w:trHeight w:val="794" w:hRule="atLeast"/>
          <w:jc w:val="center"/>
        </w:trPr>
        <w:tc>
          <w:tcPr>
            <w:tcW w:w="2487" w:type="dxa"/>
            <w:vAlign w:val="center"/>
          </w:tcPr>
          <w:p>
            <w:pPr>
              <w:jc w:val="distribute"/>
            </w:pPr>
            <w:r>
              <w:rPr>
                <w:sz w:val="30"/>
              </w:rPr>
              <w:t>实习时间</w:t>
            </w:r>
          </w:p>
        </w:tc>
        <w:tc>
          <w:tcPr>
            <w:tcW w:w="4991" w:type="dxa"/>
            <w:vAlign w:val="center"/>
          </w:tcPr>
          <w:p>
            <w:pPr>
              <w:spacing w:before="312" w:beforeLines="100"/>
              <w:rPr>
                <w:u w:val="single"/>
              </w:rPr>
            </w:pPr>
            <w:r>
              <w:rPr>
                <w:u w:val="single"/>
              </w:rPr>
              <w:t xml:space="preserve">                </w:t>
            </w:r>
            <w:r>
              <w:rPr>
                <w:rFonts w:hint="eastAsia" w:ascii="宋体" w:hAnsi="宋体" w:eastAsia="宋体" w:cs="宋体"/>
                <w:sz w:val="24"/>
                <w:szCs w:val="24"/>
                <w:lang w:val="en-US" w:eastAsia="zh-CN"/>
              </w:rPr>
              <w:t>2024.6.5</w:t>
            </w:r>
            <w:r>
              <w:rPr>
                <w:rFonts w:hint="eastAsia" w:ascii="宋体" w:hAnsi="宋体" w:cs="宋体"/>
                <w:sz w:val="24"/>
                <w:szCs w:val="24"/>
                <w:lang w:val="en-US" w:eastAsia="zh-CN"/>
              </w:rPr>
              <w:t>, 6.11</w:t>
            </w:r>
            <w:r>
              <w:rPr>
                <w:u w:val="single"/>
              </w:rPr>
              <w:t xml:space="preserve">       </w:t>
            </w:r>
            <w:bookmarkStart w:id="3" w:name="_GoBack"/>
            <w:bookmarkEnd w:id="3"/>
            <w:r>
              <w:rPr>
                <w:u w:val="single"/>
              </w:rPr>
              <w:t xml:space="preserve">                    </w:t>
            </w:r>
          </w:p>
        </w:tc>
      </w:tr>
    </w:tbl>
    <w:p/>
    <w:p>
      <w:pPr>
        <w:widowControl/>
        <w:jc w:val="left"/>
      </w:pPr>
      <w:r>
        <w:br w:type="page"/>
      </w:r>
    </w:p>
    <w:tbl>
      <w:tblPr>
        <w:tblStyle w:val="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2835"/>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jc w:val="center"/>
        </w:trPr>
        <w:tc>
          <w:tcPr>
            <w:tcW w:w="2405" w:type="dxa"/>
            <w:vAlign w:val="center"/>
          </w:tcPr>
          <w:p>
            <w:pPr>
              <w:jc w:val="center"/>
              <w:rPr>
                <w:b/>
                <w:sz w:val="15"/>
                <w:szCs w:val="15"/>
              </w:rPr>
            </w:pPr>
            <w:r>
              <w:rPr>
                <w:b/>
                <w:sz w:val="15"/>
                <w:szCs w:val="15"/>
              </w:rPr>
              <w:t>课程目标(Course Objectives, CO)</w:t>
            </w:r>
          </w:p>
        </w:tc>
        <w:tc>
          <w:tcPr>
            <w:tcW w:w="5812" w:type="dxa"/>
            <w:gridSpan w:val="2"/>
            <w:vAlign w:val="center"/>
          </w:tcPr>
          <w:p>
            <w:pPr>
              <w:jc w:val="center"/>
              <w:rPr>
                <w:b/>
                <w:sz w:val="15"/>
                <w:szCs w:val="15"/>
              </w:rPr>
            </w:pPr>
            <w:r>
              <w:rPr>
                <w:b/>
                <w:sz w:val="15"/>
                <w:szCs w:val="15"/>
              </w:rPr>
              <w:t>支撑的毕业要求 (Graduation Requirement, GR)及二级指标点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405" w:type="dxa"/>
          </w:tcPr>
          <w:p>
            <w:pPr>
              <w:rPr>
                <w:sz w:val="10"/>
                <w:szCs w:val="10"/>
              </w:rPr>
            </w:pPr>
            <w:r>
              <w:rPr>
                <w:color w:val="000000"/>
                <w:sz w:val="15"/>
                <w:szCs w:val="18"/>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tc>
        <w:tc>
          <w:tcPr>
            <w:tcW w:w="2835" w:type="dxa"/>
          </w:tcPr>
          <w:p>
            <w:pPr>
              <w:rPr>
                <w:sz w:val="10"/>
                <w:szCs w:val="10"/>
              </w:rPr>
            </w:pPr>
            <w:r>
              <w:rPr>
                <w:color w:val="000000"/>
                <w:sz w:val="15"/>
                <w:szCs w:val="18"/>
              </w:rPr>
              <w:t>G</w:t>
            </w:r>
            <w:r>
              <w:rPr>
                <w:rFonts w:hint="eastAsia"/>
                <w:color w:val="000000"/>
                <w:sz w:val="15"/>
                <w:szCs w:val="18"/>
              </w:rPr>
              <w:t>A</w:t>
            </w:r>
            <w:r>
              <w:rPr>
                <w:color w:val="000000"/>
                <w:sz w:val="15"/>
                <w:szCs w:val="18"/>
              </w:rPr>
              <w:t xml:space="preserve">7. </w:t>
            </w:r>
            <w:r>
              <w:rPr>
                <w:rFonts w:hint="eastAsia"/>
                <w:color w:val="000000"/>
                <w:sz w:val="15"/>
                <w:szCs w:val="18"/>
              </w:rPr>
              <w:t>环境和可持续发展：能够理解和评价针对物联网工程领域的复杂工程问题的工程实践对环境、社会可持续发展的影响。</w:t>
            </w:r>
          </w:p>
        </w:tc>
        <w:tc>
          <w:tcPr>
            <w:tcW w:w="2977" w:type="dxa"/>
          </w:tcPr>
          <w:p>
            <w:pPr>
              <w:rPr>
                <w:sz w:val="10"/>
                <w:szCs w:val="10"/>
              </w:rPr>
            </w:pPr>
            <w:r>
              <w:rPr>
                <w:rFonts w:hint="eastAsia"/>
                <w:color w:val="000000"/>
                <w:sz w:val="15"/>
                <w:szCs w:val="18"/>
              </w:rPr>
              <w:t>GA7.1知晓和理解“联合国可持续发展目标SDG17”的理念和内涵。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sz w:val="10"/>
                <w:szCs w:val="10"/>
              </w:rPr>
            </w:pPr>
            <w:r>
              <w:rPr>
                <w:color w:val="000000"/>
                <w:sz w:val="15"/>
                <w:szCs w:val="18"/>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 xml:space="preserve">。 </w:t>
            </w:r>
          </w:p>
        </w:tc>
        <w:tc>
          <w:tcPr>
            <w:tcW w:w="2835" w:type="dxa"/>
          </w:tcPr>
          <w:p>
            <w:pPr>
              <w:rPr>
                <w:sz w:val="10"/>
                <w:szCs w:val="10"/>
              </w:rPr>
            </w:pPr>
            <w:r>
              <w:rPr>
                <w:rFonts w:hint="eastAsia"/>
                <w:color w:val="000000"/>
                <w:sz w:val="15"/>
                <w:szCs w:val="18"/>
              </w:rPr>
              <w:t>GA8.职业规范：具有人文社会科学素养、社会责任感，能够在物联网工程领域的工程实践中理解并遵守工程职业道德和规范，履行责任。</w:t>
            </w:r>
          </w:p>
        </w:tc>
        <w:tc>
          <w:tcPr>
            <w:tcW w:w="2977" w:type="dxa"/>
          </w:tcPr>
          <w:p>
            <w:pPr>
              <w:rPr>
                <w:sz w:val="10"/>
                <w:szCs w:val="10"/>
              </w:rPr>
            </w:pPr>
            <w:r>
              <w:rPr>
                <w:rFonts w:hint="eastAsia"/>
                <w:color w:val="000000"/>
                <w:sz w:val="15"/>
                <w:szCs w:val="18"/>
              </w:rPr>
              <w:t xml:space="preserve">GA8.2恪守工程伦理、理解并遵守工程职业道德和规范，尊重相关国家和国际通行的法律法规。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color w:val="000000"/>
                <w:sz w:val="15"/>
                <w:szCs w:val="18"/>
              </w:rPr>
            </w:pPr>
            <w:r>
              <w:rPr>
                <w:color w:val="000000"/>
                <w:sz w:val="15"/>
                <w:szCs w:val="18"/>
              </w:rPr>
              <w:t>CO3：激发学生的学习兴趣，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tc>
        <w:tc>
          <w:tcPr>
            <w:tcW w:w="2835" w:type="dxa"/>
          </w:tcPr>
          <w:p>
            <w:pPr>
              <w:rPr>
                <w:sz w:val="10"/>
                <w:szCs w:val="10"/>
              </w:rPr>
            </w:pPr>
            <w:r>
              <w:rPr>
                <w:rFonts w:hint="eastAsia"/>
                <w:color w:val="000000"/>
                <w:sz w:val="15"/>
                <w:szCs w:val="18"/>
              </w:rPr>
              <w:t>GA9. 个人和团队：能够在多学科背景下的团队中承担个体、团队成员以及负责人的角色。</w:t>
            </w:r>
          </w:p>
        </w:tc>
        <w:tc>
          <w:tcPr>
            <w:tcW w:w="2977" w:type="dxa"/>
          </w:tcPr>
          <w:p>
            <w:pPr>
              <w:rPr>
                <w:sz w:val="10"/>
                <w:szCs w:val="10"/>
              </w:rPr>
            </w:pPr>
            <w:bookmarkStart w:id="0" w:name="OLE_LINK1"/>
            <w:bookmarkStart w:id="1" w:name="OLE_LINK2"/>
            <w:r>
              <w:rPr>
                <w:rFonts w:hint="eastAsia"/>
                <w:color w:val="000000"/>
                <w:sz w:val="15"/>
                <w:szCs w:val="18"/>
              </w:rPr>
              <w:t>GA9.1</w:t>
            </w:r>
            <w:bookmarkEnd w:id="0"/>
            <w:bookmarkEnd w:id="1"/>
            <w:r>
              <w:rPr>
                <w:rFonts w:hint="eastAsia"/>
                <w:color w:val="000000"/>
                <w:sz w:val="15"/>
                <w:szCs w:val="18"/>
              </w:rPr>
              <w:t xml:space="preserve"> 能够在多学科、多元化、多形式（面对面、远程互动）的团队中与其他团队成员进行有效地、包容性地沟通与合作。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405" w:type="dxa"/>
          </w:tcPr>
          <w:p>
            <w:pPr>
              <w:rPr>
                <w:sz w:val="10"/>
                <w:szCs w:val="10"/>
              </w:rPr>
            </w:pPr>
            <w:r>
              <w:rPr>
                <w:color w:val="000000"/>
                <w:sz w:val="15"/>
                <w:szCs w:val="18"/>
              </w:rPr>
              <w:t>CO4：</w:t>
            </w:r>
            <w:r>
              <w:rPr>
                <w:rFonts w:hint="eastAsia"/>
                <w:color w:val="000000"/>
                <w:sz w:val="15"/>
                <w:szCs w:val="18"/>
              </w:rPr>
              <w:t>能够将所学相关理论知识应用与参观企业相关工程问题解决方案的比较与综合，并理解和掌握工程项目中涉及的管理与经济决策方法。</w:t>
            </w:r>
          </w:p>
        </w:tc>
        <w:tc>
          <w:tcPr>
            <w:tcW w:w="2835" w:type="dxa"/>
          </w:tcPr>
          <w:p>
            <w:pPr>
              <w:rPr>
                <w:color w:val="000000"/>
                <w:sz w:val="15"/>
                <w:szCs w:val="18"/>
              </w:rPr>
            </w:pPr>
            <w:r>
              <w:rPr>
                <w:rFonts w:hint="eastAsia"/>
                <w:color w:val="000000"/>
                <w:sz w:val="15"/>
                <w:szCs w:val="18"/>
              </w:rPr>
              <w:t>GA11. 项目管理：理解并掌握物联网工程领域工程管理原理与经济决策方法，并能在多学科环境中应用。</w:t>
            </w:r>
          </w:p>
        </w:tc>
        <w:tc>
          <w:tcPr>
            <w:tcW w:w="2977" w:type="dxa"/>
          </w:tcPr>
          <w:p>
            <w:pPr>
              <w:rPr>
                <w:color w:val="000000"/>
                <w:sz w:val="15"/>
                <w:szCs w:val="18"/>
              </w:rPr>
            </w:pPr>
            <w:r>
              <w:rPr>
                <w:rFonts w:hint="eastAsia"/>
                <w:color w:val="000000"/>
                <w:sz w:val="15"/>
                <w:szCs w:val="18"/>
              </w:rPr>
              <w:t>GA11.1掌握物联网工程领域工程项目中涉及的管理与经济决策方法。</w:t>
            </w:r>
          </w:p>
        </w:tc>
      </w:tr>
    </w:tbl>
    <w:p>
      <w:pPr>
        <w:spacing w:before="156" w:beforeLines="50" w:line="360" w:lineRule="auto"/>
        <w:rPr>
          <w:b/>
          <w:bCs/>
          <w:kern w:val="44"/>
          <w:sz w:val="18"/>
          <w:szCs w:val="18"/>
        </w:rPr>
      </w:pPr>
    </w:p>
    <w:p>
      <w:pPr>
        <w:widowControl/>
        <w:jc w:val="left"/>
        <w:rPr>
          <w:b/>
          <w:bCs/>
          <w:kern w:val="44"/>
          <w:sz w:val="24"/>
        </w:rPr>
      </w:pPr>
      <w:r>
        <w:rPr>
          <w:b/>
          <w:bCs/>
          <w:kern w:val="44"/>
          <w:sz w:val="24"/>
        </w:rPr>
        <w:br w:type="page"/>
      </w:r>
    </w:p>
    <w:p>
      <w:pPr>
        <w:spacing w:before="156" w:beforeLines="50" w:line="360" w:lineRule="auto"/>
        <w:rPr>
          <w:b/>
          <w:bCs/>
          <w:kern w:val="44"/>
          <w:sz w:val="24"/>
        </w:rPr>
      </w:pPr>
      <w:r>
        <w:rPr>
          <w:b/>
          <w:bCs/>
          <w:kern w:val="44"/>
          <w:sz w:val="24"/>
        </w:rPr>
        <w:t>实习日记成绩</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sz w:val="15"/>
                <w:szCs w:val="15"/>
              </w:rPr>
            </w:pPr>
            <w:r>
              <w:rPr>
                <w:sz w:val="15"/>
                <w:szCs w:val="15"/>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pPr>
              <w:rPr>
                <w:b/>
                <w:bCs/>
                <w:kern w:val="44"/>
                <w:sz w:val="28"/>
                <w:szCs w:val="28"/>
              </w:rPr>
            </w:pPr>
            <w:r>
              <w:rPr>
                <w:sz w:val="15"/>
                <w:szCs w:val="15"/>
              </w:rPr>
              <w:t>（15分）</w:t>
            </w:r>
          </w:p>
        </w:tc>
        <w:tc>
          <w:tcPr>
            <w:tcW w:w="2268" w:type="dxa"/>
          </w:tcPr>
          <w:p>
            <w:pPr>
              <w:rPr>
                <w:sz w:val="15"/>
                <w:szCs w:val="15"/>
              </w:rPr>
            </w:pPr>
            <w:r>
              <w:rPr>
                <w:sz w:val="15"/>
                <w:szCs w:val="15"/>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pPr>
              <w:rPr>
                <w:sz w:val="15"/>
                <w:szCs w:val="15"/>
              </w:rPr>
            </w:pPr>
            <w:r>
              <w:rPr>
                <w:sz w:val="15"/>
                <w:szCs w:val="15"/>
              </w:rPr>
              <w:t>（</w:t>
            </w:r>
            <w:r>
              <w:rPr>
                <w:rFonts w:hint="eastAsia"/>
                <w:sz w:val="15"/>
                <w:szCs w:val="15"/>
              </w:rPr>
              <w:t>10</w:t>
            </w:r>
            <w:r>
              <w:rPr>
                <w:sz w:val="15"/>
                <w:szCs w:val="15"/>
              </w:rPr>
              <w:t>分）</w:t>
            </w:r>
          </w:p>
        </w:tc>
        <w:tc>
          <w:tcPr>
            <w:tcW w:w="1559" w:type="dxa"/>
          </w:tcPr>
          <w:p>
            <w:pPr>
              <w:rPr>
                <w:sz w:val="15"/>
                <w:szCs w:val="15"/>
              </w:rPr>
            </w:pPr>
            <w:r>
              <w:rPr>
                <w:sz w:val="15"/>
                <w:szCs w:val="15"/>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pPr>
              <w:rPr>
                <w:sz w:val="15"/>
                <w:szCs w:val="15"/>
              </w:rPr>
            </w:pPr>
            <w:r>
              <w:rPr>
                <w:sz w:val="15"/>
                <w:szCs w:val="15"/>
              </w:rPr>
              <w:t>（10分）</w:t>
            </w:r>
          </w:p>
        </w:tc>
        <w:tc>
          <w:tcPr>
            <w:tcW w:w="1985" w:type="dxa"/>
          </w:tcPr>
          <w:p>
            <w:pPr>
              <w:rPr>
                <w:sz w:val="15"/>
                <w:szCs w:val="15"/>
              </w:rPr>
            </w:pPr>
            <w:r>
              <w:rPr>
                <w:sz w:val="15"/>
                <w:szCs w:val="15"/>
              </w:rPr>
              <w:t>CO4：</w:t>
            </w:r>
            <w:r>
              <w:rPr>
                <w:rFonts w:hint="eastAsia"/>
                <w:color w:val="000000"/>
                <w:sz w:val="15"/>
                <w:szCs w:val="18"/>
              </w:rPr>
              <w:t>能够将所学相关理论知识应用与参观企业相关工程问题解决方案的比较与综合，并理解和掌握工程项目中涉及的管理与经济决策方法。</w:t>
            </w:r>
          </w:p>
          <w:p>
            <w:pPr>
              <w:rPr>
                <w:sz w:val="15"/>
                <w:szCs w:val="15"/>
              </w:rPr>
            </w:pPr>
            <w:r>
              <w:rPr>
                <w:sz w:val="15"/>
                <w:szCs w:val="15"/>
              </w:rPr>
              <w:t>（15分）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b/>
                <w:bCs/>
                <w:kern w:val="44"/>
                <w:sz w:val="28"/>
                <w:szCs w:val="28"/>
              </w:rPr>
            </w:pPr>
          </w:p>
        </w:tc>
        <w:tc>
          <w:tcPr>
            <w:tcW w:w="2268" w:type="dxa"/>
          </w:tcPr>
          <w:p>
            <w:pPr>
              <w:rPr>
                <w:b/>
                <w:bCs/>
                <w:kern w:val="44"/>
                <w:sz w:val="28"/>
                <w:szCs w:val="28"/>
              </w:rPr>
            </w:pPr>
          </w:p>
        </w:tc>
        <w:tc>
          <w:tcPr>
            <w:tcW w:w="1559" w:type="dxa"/>
          </w:tcPr>
          <w:p>
            <w:pPr>
              <w:rPr>
                <w:b/>
                <w:bCs/>
                <w:kern w:val="44"/>
                <w:sz w:val="28"/>
                <w:szCs w:val="28"/>
              </w:rPr>
            </w:pPr>
          </w:p>
        </w:tc>
        <w:tc>
          <w:tcPr>
            <w:tcW w:w="1985" w:type="dxa"/>
          </w:tcPr>
          <w:p>
            <w:pPr>
              <w:rPr>
                <w:b/>
                <w:bCs/>
                <w:kern w:val="44"/>
                <w:sz w:val="28"/>
                <w:szCs w:val="28"/>
              </w:rPr>
            </w:pPr>
          </w:p>
        </w:tc>
      </w:tr>
    </w:tbl>
    <w:p>
      <w:pPr>
        <w:spacing w:before="156" w:beforeLines="50" w:line="360" w:lineRule="auto"/>
        <w:rPr>
          <w:b/>
          <w:bCs/>
          <w:kern w:val="44"/>
          <w:sz w:val="24"/>
        </w:rPr>
      </w:pPr>
      <w:r>
        <w:rPr>
          <w:b/>
          <w:bCs/>
          <w:kern w:val="44"/>
          <w:sz w:val="24"/>
        </w:rPr>
        <w:t>实习报告成绩</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1559"/>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sz w:val="15"/>
                <w:szCs w:val="15"/>
              </w:rPr>
            </w:pPr>
            <w:r>
              <w:rPr>
                <w:sz w:val="15"/>
                <w:szCs w:val="15"/>
              </w:rPr>
              <w:t>CO1：</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pPr>
              <w:rPr>
                <w:b/>
                <w:bCs/>
                <w:kern w:val="44"/>
                <w:sz w:val="28"/>
                <w:szCs w:val="28"/>
              </w:rPr>
            </w:pPr>
            <w:r>
              <w:rPr>
                <w:sz w:val="15"/>
                <w:szCs w:val="15"/>
              </w:rPr>
              <w:t>（15分）</w:t>
            </w:r>
          </w:p>
        </w:tc>
        <w:tc>
          <w:tcPr>
            <w:tcW w:w="2268" w:type="dxa"/>
          </w:tcPr>
          <w:p>
            <w:pPr>
              <w:rPr>
                <w:sz w:val="15"/>
                <w:szCs w:val="15"/>
              </w:rPr>
            </w:pPr>
            <w:r>
              <w:rPr>
                <w:sz w:val="15"/>
                <w:szCs w:val="15"/>
              </w:rPr>
              <w:t>CO2：</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pPr>
              <w:rPr>
                <w:sz w:val="15"/>
                <w:szCs w:val="15"/>
              </w:rPr>
            </w:pPr>
            <w:r>
              <w:rPr>
                <w:sz w:val="15"/>
                <w:szCs w:val="15"/>
              </w:rPr>
              <w:t>（</w:t>
            </w:r>
            <w:r>
              <w:rPr>
                <w:rFonts w:hint="eastAsia"/>
                <w:sz w:val="15"/>
                <w:szCs w:val="15"/>
              </w:rPr>
              <w:t>10</w:t>
            </w:r>
            <w:r>
              <w:rPr>
                <w:sz w:val="15"/>
                <w:szCs w:val="15"/>
              </w:rPr>
              <w:t>分）</w:t>
            </w:r>
          </w:p>
        </w:tc>
        <w:tc>
          <w:tcPr>
            <w:tcW w:w="1559" w:type="dxa"/>
          </w:tcPr>
          <w:p>
            <w:pPr>
              <w:rPr>
                <w:sz w:val="15"/>
                <w:szCs w:val="15"/>
              </w:rPr>
            </w:pPr>
            <w:r>
              <w:rPr>
                <w:sz w:val="15"/>
                <w:szCs w:val="15"/>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pPr>
              <w:rPr>
                <w:sz w:val="15"/>
                <w:szCs w:val="15"/>
              </w:rPr>
            </w:pPr>
            <w:r>
              <w:rPr>
                <w:sz w:val="15"/>
                <w:szCs w:val="15"/>
              </w:rPr>
              <w:t>（10分）</w:t>
            </w:r>
          </w:p>
        </w:tc>
        <w:tc>
          <w:tcPr>
            <w:tcW w:w="1985" w:type="dxa"/>
          </w:tcPr>
          <w:p>
            <w:pPr>
              <w:rPr>
                <w:sz w:val="15"/>
                <w:szCs w:val="15"/>
              </w:rPr>
            </w:pPr>
            <w:r>
              <w:rPr>
                <w:sz w:val="15"/>
                <w:szCs w:val="15"/>
              </w:rPr>
              <w:t>CO4：</w:t>
            </w:r>
            <w:r>
              <w:rPr>
                <w:rFonts w:hint="eastAsia"/>
                <w:color w:val="000000"/>
                <w:sz w:val="15"/>
                <w:szCs w:val="18"/>
              </w:rPr>
              <w:t>能够将所学相关理论知识应用与参观企业相关工程问题解决方案的比较与综合，并理解和掌握工程项目中涉及的管理与经济决策方法。</w:t>
            </w:r>
          </w:p>
          <w:p>
            <w:pPr>
              <w:rPr>
                <w:sz w:val="15"/>
                <w:szCs w:val="15"/>
              </w:rPr>
            </w:pPr>
            <w:r>
              <w:rPr>
                <w:sz w:val="15"/>
                <w:szCs w:val="15"/>
              </w:rPr>
              <w:t>（15分）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pPr>
              <w:rPr>
                <w:b/>
                <w:bCs/>
                <w:kern w:val="44"/>
                <w:sz w:val="28"/>
                <w:szCs w:val="28"/>
              </w:rPr>
            </w:pPr>
          </w:p>
        </w:tc>
        <w:tc>
          <w:tcPr>
            <w:tcW w:w="2268" w:type="dxa"/>
          </w:tcPr>
          <w:p>
            <w:pPr>
              <w:rPr>
                <w:b/>
                <w:bCs/>
                <w:kern w:val="44"/>
                <w:sz w:val="28"/>
                <w:szCs w:val="28"/>
              </w:rPr>
            </w:pPr>
          </w:p>
        </w:tc>
        <w:tc>
          <w:tcPr>
            <w:tcW w:w="1559" w:type="dxa"/>
          </w:tcPr>
          <w:p>
            <w:pPr>
              <w:rPr>
                <w:b/>
                <w:bCs/>
                <w:kern w:val="44"/>
                <w:sz w:val="28"/>
                <w:szCs w:val="28"/>
              </w:rPr>
            </w:pPr>
          </w:p>
        </w:tc>
        <w:tc>
          <w:tcPr>
            <w:tcW w:w="1985" w:type="dxa"/>
          </w:tcPr>
          <w:p>
            <w:pPr>
              <w:keepNext/>
              <w:rPr>
                <w:b/>
                <w:bCs/>
                <w:kern w:val="44"/>
                <w:sz w:val="28"/>
                <w:szCs w:val="28"/>
              </w:rPr>
            </w:pPr>
          </w:p>
        </w:tc>
      </w:tr>
    </w:tbl>
    <w:p>
      <w:pPr>
        <w:spacing w:before="156" w:beforeLines="50" w:line="360" w:lineRule="auto"/>
        <w:rPr>
          <w:b/>
          <w:bCs/>
          <w:kern w:val="44"/>
          <w:sz w:val="24"/>
        </w:rPr>
      </w:pPr>
      <w:r>
        <w:rPr>
          <w:b/>
          <w:bCs/>
          <w:kern w:val="44"/>
          <w:sz w:val="24"/>
        </w:rPr>
        <w:t>总成绩：</w:t>
      </w:r>
    </w:p>
    <w:p>
      <w:pPr>
        <w:spacing w:before="156" w:beforeLines="50" w:line="360" w:lineRule="auto"/>
        <w:rPr>
          <w:b/>
          <w:bCs/>
          <w:kern w:val="44"/>
          <w:sz w:val="24"/>
        </w:rPr>
      </w:pPr>
      <w:r>
        <w:rPr>
          <w:b/>
          <w:bCs/>
          <w:kern w:val="44"/>
          <w:sz w:val="24"/>
        </w:rPr>
        <w:t>指导教师评语：</w:t>
      </w:r>
    </w:p>
    <w:p>
      <w:pPr>
        <w:spacing w:before="156" w:beforeLines="50" w:line="360" w:lineRule="auto"/>
        <w:rPr>
          <w:b/>
          <w:bCs/>
          <w:kern w:val="44"/>
          <w:sz w:val="24"/>
        </w:rPr>
      </w:pPr>
    </w:p>
    <w:p>
      <w:pPr>
        <w:spacing w:before="156" w:beforeLines="50" w:line="360" w:lineRule="auto"/>
        <w:rPr>
          <w:b/>
          <w:bCs/>
          <w:kern w:val="44"/>
          <w:sz w:val="24"/>
        </w:rPr>
      </w:pPr>
    </w:p>
    <w:p>
      <w:pPr>
        <w:spacing w:before="156" w:beforeLines="50" w:line="360" w:lineRule="auto"/>
        <w:rPr>
          <w:b/>
          <w:bCs/>
          <w:kern w:val="44"/>
          <w:sz w:val="24"/>
        </w:rPr>
      </w:pPr>
    </w:p>
    <w:p>
      <w:pPr>
        <w:spacing w:before="156" w:beforeLines="50" w:line="360" w:lineRule="auto"/>
        <w:rPr>
          <w:b/>
          <w:bCs/>
          <w:kern w:val="44"/>
          <w:sz w:val="24"/>
        </w:rPr>
      </w:pPr>
    </w:p>
    <w:p>
      <w:pPr>
        <w:wordWrap w:val="0"/>
        <w:spacing w:before="156" w:beforeLines="50" w:line="360" w:lineRule="auto"/>
        <w:jc w:val="right"/>
        <w:rPr>
          <w:b/>
          <w:bCs/>
          <w:kern w:val="44"/>
          <w:sz w:val="24"/>
        </w:rPr>
      </w:pPr>
      <w:r>
        <w:rPr>
          <w:b/>
          <w:bCs/>
          <w:kern w:val="44"/>
          <w:sz w:val="24"/>
        </w:rPr>
        <w:t xml:space="preserve">指导教师签名：                  </w:t>
      </w:r>
    </w:p>
    <w:p>
      <w:pPr>
        <w:spacing w:before="156" w:beforeLines="50" w:line="360" w:lineRule="auto"/>
        <w:jc w:val="right"/>
        <w:rPr>
          <w:b/>
          <w:bCs/>
          <w:kern w:val="44"/>
          <w:sz w:val="24"/>
        </w:rPr>
      </w:pPr>
    </w:p>
    <w:p>
      <w:pPr>
        <w:spacing w:before="156" w:beforeLines="50" w:line="360" w:lineRule="auto"/>
        <w:jc w:val="right"/>
        <w:rPr>
          <w:b/>
          <w:bCs/>
          <w:kern w:val="44"/>
          <w:sz w:val="24"/>
        </w:rPr>
      </w:pPr>
      <w:r>
        <w:rPr>
          <w:b/>
          <w:bCs/>
          <w:kern w:val="44"/>
          <w:sz w:val="24"/>
        </w:rPr>
        <w:t>日期：    年    月    日</w:t>
      </w:r>
    </w:p>
    <w:p>
      <w:pPr>
        <w:widowControl/>
        <w:jc w:val="left"/>
        <w:rPr>
          <w:b/>
          <w:bCs/>
          <w:kern w:val="44"/>
          <w:sz w:val="28"/>
          <w:szCs w:val="28"/>
        </w:rPr>
      </w:pPr>
      <w:r>
        <w:rPr>
          <w:sz w:val="28"/>
          <w:szCs w:val="28"/>
        </w:rPr>
        <w:br w:type="page"/>
      </w:r>
    </w:p>
    <w:p>
      <w:pPr>
        <w:pStyle w:val="2"/>
        <w:keepNext w:val="0"/>
        <w:keepLines w:val="0"/>
        <w:spacing w:before="0" w:after="0" w:line="360" w:lineRule="auto"/>
        <w:jc w:val="center"/>
      </w:pPr>
      <w:r>
        <w:t>实习日记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2024.6.5   13：50-16：30：参观</w:t>
      </w:r>
      <w:r>
        <w:rPr>
          <w:rFonts w:hint="eastAsia" w:ascii="宋体" w:hAnsi="宋体" w:eastAsia="宋体" w:cs="宋体"/>
          <w:sz w:val="24"/>
          <w:szCs w:val="24"/>
        </w:rPr>
        <w:t>中科类脑智能技术有限公司，合肥工大高科信息科技股份有限公司</w:t>
      </w: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2024.6.11  13：50-16：30：参观</w:t>
      </w:r>
      <w:r>
        <w:rPr>
          <w:rFonts w:hint="eastAsia" w:ascii="宋体" w:hAnsi="宋体" w:eastAsia="宋体" w:cs="宋体"/>
          <w:sz w:val="24"/>
          <w:szCs w:val="24"/>
        </w:rPr>
        <w:t>安徽银通物联有限公司，合肥工业大学智能制造技术研究院</w:t>
      </w:r>
    </w:p>
    <w:p>
      <w:pPr>
        <w:pStyle w:val="2"/>
        <w:keepNext w:val="0"/>
        <w:keepLines w:val="0"/>
        <w:spacing w:before="0" w:after="0" w:line="360" w:lineRule="auto"/>
        <w:jc w:val="center"/>
      </w:pPr>
      <w:r>
        <w:t>实习报告</w:t>
      </w:r>
    </w:p>
    <w:p>
      <w:pPr>
        <w:spacing w:line="360" w:lineRule="auto"/>
        <w:rPr>
          <w:b/>
          <w:sz w:val="32"/>
          <w:szCs w:val="32"/>
        </w:rPr>
      </w:pPr>
      <w:r>
        <w:rPr>
          <w:b/>
          <w:sz w:val="32"/>
          <w:szCs w:val="32"/>
        </w:rPr>
        <w:t>一、认知实习目的和内容</w:t>
      </w:r>
    </w:p>
    <w:p>
      <w:pPr>
        <w:spacing w:line="400" w:lineRule="exact"/>
        <w:ind w:firstLine="480" w:firstLineChars="200"/>
        <w:rPr>
          <w:sz w:val="24"/>
          <w:szCs w:val="32"/>
        </w:rPr>
      </w:pPr>
      <w:r>
        <w:rPr>
          <w:rFonts w:hint="eastAsia"/>
          <w:sz w:val="24"/>
        </w:rPr>
        <w:t>认知实习是本科教学的重要内容，是实现培养目标和培养应用型人才的有效途径之一。</w:t>
      </w:r>
      <w:r>
        <w:rPr>
          <w:sz w:val="24"/>
          <w:szCs w:val="32"/>
        </w:rPr>
        <w:t>将所学的理论知识与实践结合起来，培养勇于探索的创新精神、提高动手能力，加强社会活动能力，严肃认真的学习态度，为以后专业实习和走上工作岗位打下坚实的基础。实习中应该深入实际，认真观察，获取直接经验知识，巩固所学基本理论，保质保量的完成</w:t>
      </w:r>
      <w:r>
        <w:rPr>
          <w:rFonts w:hint="eastAsia"/>
          <w:sz w:val="24"/>
          <w:szCs w:val="32"/>
        </w:rPr>
        <w:t>认知实习</w:t>
      </w:r>
      <w:r>
        <w:rPr>
          <w:sz w:val="24"/>
          <w:szCs w:val="32"/>
        </w:rPr>
        <w:t>任务。</w:t>
      </w:r>
    </w:p>
    <w:p>
      <w:pPr>
        <w:spacing w:line="360" w:lineRule="auto"/>
        <w:rPr>
          <w:rStyle w:val="12"/>
          <w:kern w:val="0"/>
          <w:sz w:val="32"/>
          <w:szCs w:val="32"/>
        </w:rPr>
      </w:pPr>
      <w:r>
        <w:rPr>
          <w:b/>
          <w:sz w:val="32"/>
          <w:szCs w:val="32"/>
        </w:rPr>
        <w:t>二、</w:t>
      </w:r>
      <w:r>
        <w:rPr>
          <w:rStyle w:val="12"/>
          <w:kern w:val="0"/>
          <w:sz w:val="32"/>
          <w:szCs w:val="32"/>
        </w:rPr>
        <w:t>认知实习的意义</w:t>
      </w:r>
    </w:p>
    <w:p>
      <w:pPr>
        <w:spacing w:line="400" w:lineRule="exact"/>
        <w:ind w:firstLine="420"/>
        <w:rPr>
          <w:sz w:val="24"/>
        </w:rPr>
      </w:pPr>
      <w:r>
        <w:rPr>
          <w:rFonts w:hint="eastAsia"/>
          <w:sz w:val="24"/>
        </w:rPr>
        <w:t>通过认知实习</w:t>
      </w:r>
      <w:r>
        <w:rPr>
          <w:sz w:val="24"/>
        </w:rPr>
        <w:t>对实习单位的考察，让学生能够亲临企业第一线，</w:t>
      </w:r>
      <w:r>
        <w:rPr>
          <w:rFonts w:hint="eastAsia"/>
          <w:sz w:val="24"/>
        </w:rPr>
        <w:t>让学生了解企业、研究院所的文化，能够将所学相关理论知识应用与参观企业相关工程问题解决方案的比较与综合，掌握实际工程项目中涉及的管理与经济决策原理与方法。不断拓展视野，接触行业的工作场景、相关的职业和行业的法律、法规，增加学生对今后工作岗位的感性认识，从可持续发展的角度理解本领域的复杂工程问题的实践对环境、人类等的影响；同时，使学生对本专业有进一步的理解，</w:t>
      </w:r>
      <w:r>
        <w:rPr>
          <w:sz w:val="24"/>
        </w:rPr>
        <w:t>开始思索怎样从专业技能和个人综合素质上提升自己，</w:t>
      </w:r>
      <w:r>
        <w:rPr>
          <w:rFonts w:hint="eastAsia"/>
          <w:sz w:val="24"/>
        </w:rPr>
        <w:t>培养自觉遵守工程职业道道和规范的意识，以及与团队与他人的有效沟通能力，</w:t>
      </w:r>
      <w:r>
        <w:rPr>
          <w:sz w:val="24"/>
        </w:rPr>
        <w:t>为自己今后从事计算机和物联网工作做好准备</w:t>
      </w:r>
      <w:r>
        <w:rPr>
          <w:rFonts w:hint="eastAsia"/>
          <w:sz w:val="24"/>
        </w:rPr>
        <w:t>，并在今后的学习生活中有更加明确的方向和目标。</w:t>
      </w:r>
    </w:p>
    <w:p>
      <w:pPr>
        <w:spacing w:line="360" w:lineRule="auto"/>
        <w:rPr>
          <w:kern w:val="0"/>
          <w:sz w:val="32"/>
          <w:szCs w:val="32"/>
        </w:rPr>
      </w:pPr>
      <w:r>
        <w:rPr>
          <w:b/>
          <w:sz w:val="32"/>
          <w:szCs w:val="32"/>
        </w:rPr>
        <w:t>三、实习见闻</w:t>
      </w:r>
    </w:p>
    <w:p>
      <w:pPr>
        <w:spacing w:line="400" w:lineRule="exact"/>
        <w:rPr>
          <w:rFonts w:hint="eastAsia"/>
          <w:b/>
          <w:kern w:val="0"/>
          <w:sz w:val="24"/>
        </w:rPr>
      </w:pPr>
      <w:r>
        <w:rPr>
          <w:b/>
          <w:kern w:val="0"/>
          <w:sz w:val="24"/>
        </w:rPr>
        <w:t>第一站：</w:t>
      </w:r>
      <w:r>
        <w:rPr>
          <w:rFonts w:hint="eastAsia"/>
          <w:b/>
          <w:kern w:val="0"/>
          <w:sz w:val="24"/>
        </w:rPr>
        <w:t>合肥中科类脑智能技术有限公司</w:t>
      </w:r>
    </w:p>
    <w:p>
      <w:pPr>
        <w:numPr>
          <w:ilvl w:val="0"/>
          <w:numId w:val="1"/>
        </w:numPr>
        <w:spacing w:line="400" w:lineRule="exact"/>
        <w:rPr>
          <w:sz w:val="24"/>
        </w:rPr>
      </w:pPr>
      <w:r>
        <w:rPr>
          <w:sz w:val="24"/>
        </w:rPr>
        <w:t>公司基本情况：</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合肥中科类脑智能技术有限公司成立于2017年9月，以类脑智能技术及应用国家工程实验室和中国科大未来网络实验室为依托，公司将人工智能核心技术与产业融合，通过提供产品和系统解决方案来推动产业的智能升级转型。</w:t>
      </w:r>
    </w:p>
    <w:p>
      <w:pPr>
        <w:rPr>
          <w:rFonts w:hint="eastAsia" w:ascii="宋体" w:hAnsi="宋体" w:eastAsia="宋体" w:cs="宋体"/>
          <w:sz w:val="24"/>
          <w:szCs w:val="24"/>
        </w:rPr>
      </w:pPr>
      <w:r>
        <w:rPr>
          <w:rFonts w:hint="eastAsia" w:ascii="宋体" w:hAnsi="宋体" w:eastAsia="宋体" w:cs="宋体"/>
          <w:sz w:val="24"/>
          <w:szCs w:val="24"/>
        </w:rPr>
        <w:t>       公司以“推动前沿智能技术，助力产业数智升级”为使命，在应用计算机视觉、网络智能、小样本学习和跨媒体多模态分析等人工智能技术方向上处于行业领先地位。公司目前已全面聚焦能源领域，持续落地智能化产品解决方案，打造垂直深度发展人工智能落地闭环的典范。 中科类脑，致力于成为能源智能化的引领者。</w:t>
      </w:r>
    </w:p>
    <w:p>
      <w:pPr>
        <w:rPr>
          <w:rFonts w:hint="eastAsia"/>
        </w:rPr>
      </w:pPr>
      <w:r>
        <w:rPr>
          <w:rFonts w:hint="eastAsia"/>
        </w:rPr>
        <w:t xml:space="preserve">      </w:t>
      </w:r>
    </w:p>
    <w:p>
      <w:pPr>
        <w:spacing w:line="400" w:lineRule="exact"/>
        <w:rPr>
          <w:sz w:val="24"/>
        </w:rPr>
      </w:pPr>
      <w:r>
        <w:rPr>
          <w:sz w:val="24"/>
        </w:rPr>
        <w:t>（2）计算机工程实践/计算机及其应用领域复杂工程问题求解的认知：</w:t>
      </w:r>
    </w:p>
    <w:p>
      <w:pPr>
        <w:ind w:firstLine="480" w:firstLineChars="200"/>
        <w:rPr>
          <w:sz w:val="24"/>
          <w:szCs w:val="24"/>
        </w:rPr>
      </w:pPr>
      <w:r>
        <w:rPr>
          <w:rFonts w:hint="default"/>
          <w:sz w:val="24"/>
          <w:szCs w:val="24"/>
        </w:rPr>
        <w:t>参观合肥中科类脑智能技术有限公司，让我对计算机工程实践和计算机及其应用领域复杂工程问题求解有了更深刻的认识。</w:t>
      </w:r>
    </w:p>
    <w:p>
      <w:pPr>
        <w:rPr>
          <w:rFonts w:hint="default"/>
          <w:sz w:val="24"/>
          <w:szCs w:val="24"/>
        </w:rPr>
      </w:pPr>
      <w:r>
        <w:rPr>
          <w:rFonts w:hint="default"/>
          <w:sz w:val="24"/>
          <w:szCs w:val="24"/>
        </w:rPr>
        <w:t>首先，在现代计算机工程实践中，我认识到了类脑智能技术的广泛应用和重要性。类脑智能技术是一种模拟人类大脑的工作原理和智能行为的技术，它在人工智能领域具有广阔的应用前景。通过参观公司的展示和交流，我了解到类脑智能技术在语音识别、图像识别、智能控制等领域的应用，以及它在解决复杂工程问题中的独特优势和价值。</w:t>
      </w:r>
    </w:p>
    <w:p>
      <w:pPr>
        <w:ind w:firstLine="480" w:firstLineChars="200"/>
        <w:rPr>
          <w:rFonts w:hint="default"/>
          <w:sz w:val="24"/>
          <w:szCs w:val="24"/>
        </w:rPr>
      </w:pPr>
      <w:r>
        <w:rPr>
          <w:rFonts w:hint="default"/>
          <w:sz w:val="24"/>
          <w:szCs w:val="24"/>
        </w:rPr>
        <w:t>其次，我认识到在计算机及其应用领域复杂工程问题求解中，需要综合运用多种技术和方法。现代的复杂工程问题往往涉及多个领域和多个层面，需要跨学科的综合研究和解决方案。在公司参观中，我看到工程师们通过结合类脑智能技术、大数据分析、深度学习等技术，解决了一系列复杂的工程难题，展现了计算机工程实践的多样性和复杂性。</w:t>
      </w:r>
    </w:p>
    <w:p>
      <w:pPr>
        <w:ind w:firstLine="480" w:firstLineChars="200"/>
        <w:rPr>
          <w:rFonts w:hint="default"/>
          <w:sz w:val="24"/>
          <w:szCs w:val="24"/>
        </w:rPr>
      </w:pPr>
      <w:r>
        <w:rPr>
          <w:rFonts w:hint="default"/>
          <w:sz w:val="24"/>
          <w:szCs w:val="24"/>
        </w:rPr>
        <w:t>最后，我认识到在计算机工程领域，不仅需要具备扎实的技术功底和专业知识，更需要创新思维和团队合作精神。复杂工程问题的解决需要团队中各个成员的协作和合作，需要不断创新和突破传统思维的局限。在公司参观中，我看到了团队成员们共同努力、相互协作的场景，他们通过共同的努力和智慧，解决了一个又一个复杂的工程问题，展现了团队协作和创新精神的重要性</w:t>
      </w:r>
    </w:p>
    <w:p>
      <w:pPr>
        <w:spacing w:line="400" w:lineRule="exact"/>
        <w:ind w:firstLine="480" w:firstLineChars="200"/>
        <w:rPr>
          <w:sz w:val="24"/>
        </w:rPr>
      </w:pPr>
    </w:p>
    <w:p>
      <w:pPr>
        <w:spacing w:line="400" w:lineRule="exact"/>
        <w:rPr>
          <w:b/>
          <w:bCs/>
          <w:sz w:val="24"/>
          <w:szCs w:val="24"/>
          <w:highlight w:val="none"/>
        </w:rPr>
      </w:pPr>
      <w:r>
        <w:rPr>
          <w:b/>
          <w:kern w:val="0"/>
          <w:sz w:val="24"/>
        </w:rPr>
        <w:t>第二站：</w:t>
      </w:r>
      <w:r>
        <w:rPr>
          <w:b/>
          <w:bCs/>
          <w:sz w:val="24"/>
          <w:szCs w:val="24"/>
          <w:highlight w:val="none"/>
        </w:rPr>
        <w:t>合肥工大高科信息科技股份有限公司</w:t>
      </w:r>
    </w:p>
    <w:p>
      <w:pPr>
        <w:spacing w:line="400" w:lineRule="exact"/>
        <w:rPr>
          <w:sz w:val="24"/>
        </w:rPr>
      </w:pPr>
      <w:r>
        <w:rPr>
          <w:sz w:val="24"/>
        </w:rPr>
        <w:t>（1）公司基本情况：</w:t>
      </w:r>
    </w:p>
    <w:p>
      <w:pPr>
        <w:ind w:firstLine="480" w:firstLineChars="200"/>
        <w:rPr>
          <w:sz w:val="24"/>
          <w:szCs w:val="24"/>
        </w:rPr>
      </w:pPr>
      <w:r>
        <w:rPr>
          <w:rFonts w:hint="default"/>
          <w:sz w:val="24"/>
          <w:szCs w:val="24"/>
        </w:rPr>
        <w:t>合肥工大高科信息科技股份有限公司（简称“工大高科”，688367.SH）成立于2001年，2021年6月在上交所科创板上市，是国内领先的铁路信号控制与安全调度、智能化矿山解决方案专业提供商、工业互联网平台增值业务服务商。公司自成立以来，始终以铁路信号安全完整性技术、防失爆设计技术、工业AI技术为核心开展产品的研究开发，并保持国内领先水平，致力于让铁路和矿山更安全、更高效、更智能。</w:t>
      </w:r>
    </w:p>
    <w:p>
      <w:pPr>
        <w:ind w:firstLine="480" w:firstLineChars="200"/>
        <w:rPr>
          <w:rFonts w:hint="default"/>
          <w:sz w:val="24"/>
          <w:szCs w:val="24"/>
        </w:rPr>
      </w:pPr>
      <w:r>
        <w:rPr>
          <w:rFonts w:hint="default"/>
          <w:sz w:val="24"/>
          <w:szCs w:val="24"/>
        </w:rPr>
        <w:t>公司从事铁路信号控制系统、智能化矿山监控装备的制造，以及相关调度、监控、管理系统的研发，工业互联网平台增值业务服务，涵盖技术咨询、方案设计、软件开发、产品研制、生产制造、运维保障等全流程服务，为用户提供独具特色的信号联锁、调度管控一体化、物流智能化管理、矿井机车无人驾驶、矿井智能辅助运输、移动目标精确定位与管理等系统产品及服务，广泛应用于冶金、矿山、石化、港口、电力等国民经济支柱行业，为提升铁路和矿山的运输安全、高效生产发挥重要作用，业绩覆盖国内31个省、市、自治区并进入国际市场。</w:t>
      </w:r>
    </w:p>
    <w:p>
      <w:pPr>
        <w:spacing w:line="400" w:lineRule="exact"/>
        <w:ind w:firstLine="480" w:firstLineChars="200"/>
        <w:rPr>
          <w:sz w:val="24"/>
        </w:rPr>
      </w:pPr>
    </w:p>
    <w:p>
      <w:pPr>
        <w:spacing w:line="400" w:lineRule="exact"/>
        <w:rPr>
          <w:sz w:val="24"/>
        </w:rPr>
      </w:pPr>
      <w:r>
        <w:rPr>
          <w:sz w:val="24"/>
        </w:rPr>
        <w:t>（2）计算机工程实践/计算机及其应用领域复杂工程问题求解的认知：</w:t>
      </w:r>
    </w:p>
    <w:p>
      <w:pPr>
        <w:ind w:firstLine="480" w:firstLineChars="200"/>
        <w:rPr>
          <w:rFonts w:hint="eastAsia"/>
          <w:sz w:val="24"/>
          <w:szCs w:val="24"/>
        </w:rPr>
      </w:pPr>
      <w:r>
        <w:rPr>
          <w:rFonts w:hint="eastAsia"/>
          <w:sz w:val="24"/>
          <w:szCs w:val="24"/>
        </w:rPr>
        <w:t>在参观完合肥工大高科信息科技股份有限公司后，我对计算机工程实践和计算机及其应用领域复杂工程问题求解有了更深刻的认知。</w:t>
      </w:r>
    </w:p>
    <w:p>
      <w:pPr>
        <w:ind w:firstLine="480" w:firstLineChars="200"/>
        <w:rPr>
          <w:rFonts w:hint="eastAsia"/>
          <w:sz w:val="24"/>
          <w:szCs w:val="24"/>
        </w:rPr>
      </w:pPr>
      <w:r>
        <w:rPr>
          <w:rFonts w:hint="eastAsia"/>
          <w:sz w:val="24"/>
          <w:szCs w:val="24"/>
        </w:rPr>
        <w:t>首先，我意识到计算机工程实践的重要性在于解决现实生活中复杂的工程问题。在工大高科的参观中，我看到他们通过不断的研究和创新，成功将铁路信号安全完整性技术、防失爆设计技术、工业AI技术等核心技术运用到铁路和矿山领域，取得了令人瞩目的成就。他们将计算机工程实践融入到产品的研发、生产制造、运维保障等全流程服务中，使得铁路和矿山运输更加安全、高效、智能化。</w:t>
      </w:r>
    </w:p>
    <w:p>
      <w:pPr>
        <w:ind w:firstLine="480" w:firstLineChars="200"/>
        <w:rPr>
          <w:rFonts w:hint="eastAsia"/>
          <w:sz w:val="24"/>
          <w:szCs w:val="24"/>
        </w:rPr>
      </w:pPr>
      <w:r>
        <w:rPr>
          <w:rFonts w:hint="eastAsia"/>
          <w:sz w:val="24"/>
          <w:szCs w:val="24"/>
        </w:rPr>
        <w:t>其次，我认识到计算机及其应用领域复杂工程问题求解需要跨学科的综合能力。在参观中，我发现工大高科团队中的工程师们不仅具备计算机技术专业知识，还需要有对铁路和矿山等领域深入的了解和实践经验。他们能够通过计算机技术和工程知识相结合，解决复杂的工程难题，为用户提供定制化的解决方案。</w:t>
      </w:r>
    </w:p>
    <w:p>
      <w:pPr>
        <w:ind w:firstLine="480" w:firstLineChars="200"/>
        <w:rPr>
          <w:rFonts w:hint="eastAsia"/>
          <w:sz w:val="24"/>
          <w:szCs w:val="24"/>
        </w:rPr>
      </w:pPr>
      <w:r>
        <w:rPr>
          <w:rFonts w:hint="eastAsia"/>
          <w:sz w:val="24"/>
          <w:szCs w:val="24"/>
        </w:rPr>
        <w:t>最后，我认识到计算机工程实践需要持续的创新和学习。工大高科作为国内领先的专业提供商，在不断追求技术创新和全面提升服务水平的同时，也在积极开拓国际市场，拓展业务领域。这种持续的创新精神和学习态度，使得他们在计算机工程实践和复杂工程问题求解方面具有竞争优势，为行业发展树立了榜样。</w:t>
      </w:r>
    </w:p>
    <w:p>
      <w:pPr>
        <w:spacing w:line="400" w:lineRule="exact"/>
        <w:ind w:firstLine="480" w:firstLineChars="200"/>
        <w:rPr>
          <w:sz w:val="24"/>
        </w:rPr>
      </w:pPr>
    </w:p>
    <w:p>
      <w:pPr>
        <w:spacing w:line="400" w:lineRule="exact"/>
        <w:rPr>
          <w:rFonts w:hint="eastAsia" w:ascii="宋体" w:hAnsi="宋体" w:eastAsia="宋体" w:cs="宋体"/>
          <w:b/>
          <w:bCs/>
          <w:i w:val="0"/>
          <w:iCs w:val="0"/>
          <w:caps w:val="0"/>
          <w:color w:val="444444"/>
          <w:spacing w:val="0"/>
          <w:sz w:val="24"/>
          <w:szCs w:val="24"/>
          <w:shd w:val="clear" w:fill="FFFFFF"/>
        </w:rPr>
      </w:pPr>
      <w:bookmarkStart w:id="2" w:name="5626873-5839493-3"/>
      <w:bookmarkEnd w:id="2"/>
      <w:r>
        <w:rPr>
          <w:b/>
          <w:kern w:val="0"/>
          <w:sz w:val="24"/>
        </w:rPr>
        <w:t>第三站：</w:t>
      </w:r>
      <w:r>
        <w:rPr>
          <w:rFonts w:hint="eastAsia" w:ascii="宋体" w:hAnsi="宋体" w:eastAsia="宋体" w:cs="宋体"/>
          <w:b/>
          <w:bCs/>
          <w:i w:val="0"/>
          <w:iCs w:val="0"/>
          <w:caps w:val="0"/>
          <w:color w:val="444444"/>
          <w:spacing w:val="0"/>
          <w:sz w:val="24"/>
          <w:szCs w:val="24"/>
          <w:shd w:val="clear" w:fill="FFFFFF"/>
        </w:rPr>
        <w:t>安徽银通物联有限公司</w:t>
      </w:r>
    </w:p>
    <w:p>
      <w:pPr>
        <w:spacing w:line="400" w:lineRule="exact"/>
        <w:rPr>
          <w:sz w:val="24"/>
        </w:rPr>
      </w:pPr>
      <w:r>
        <w:rPr>
          <w:sz w:val="24"/>
        </w:rPr>
        <w:t>（1）公司基本情况：</w:t>
      </w:r>
    </w:p>
    <w:p>
      <w:pPr>
        <w:ind w:firstLine="480" w:firstLineChars="200"/>
        <w:rPr>
          <w:rFonts w:hint="eastAsia"/>
          <w:sz w:val="24"/>
          <w:szCs w:val="24"/>
        </w:rPr>
      </w:pPr>
      <w:r>
        <w:rPr>
          <w:sz w:val="24"/>
          <w:szCs w:val="24"/>
        </w:rPr>
        <w:t>安徽银通物联有限公司成立于2011年，注册资金5000万元，现有员工约500余人；集设计、研发、生产、销售、服务为一体的数字化全场景应用综合解决方案服务商。依托自身科技能力向客户科技赋能，致力打造智慧教育、智慧园区、智慧医疗、智慧养老、智慧城市等五大板块数字化全场景应用综合解决方案。以用户需求为中心，以产品智能化、服务场景化、能力平台化、价值生态化为手段,构建共创、共赢、共生的数字生态系统，持续为用户创造全场景体验、全生命周期的价值。一直为各地政府、学校、园区、企事业单位、社区等各行业客户提供数字化全场景应用综合解决方案。现已成为中国银联、支付宝、微信支付终端机具及解决方案服务商。</w:t>
      </w:r>
    </w:p>
    <w:p>
      <w:pPr>
        <w:spacing w:line="400" w:lineRule="exact"/>
        <w:rPr>
          <w:sz w:val="24"/>
        </w:rPr>
      </w:pPr>
      <w:r>
        <w:rPr>
          <w:rFonts w:hint="eastAsia" w:ascii="微软雅黑" w:hAnsi="微软雅黑" w:eastAsia="微软雅黑" w:cs="微软雅黑"/>
          <w:i w:val="0"/>
          <w:iCs w:val="0"/>
          <w:caps w:val="0"/>
          <w:color w:val="444444"/>
          <w:spacing w:val="0"/>
          <w:sz w:val="19"/>
          <w:szCs w:val="19"/>
          <w:bdr w:val="none" w:color="auto" w:sz="0" w:space="0"/>
          <w:shd w:val="clear" w:fill="FFFFFF"/>
        </w:rPr>
        <w:br w:type="textWrapping"/>
      </w:r>
      <w:r>
        <w:rPr>
          <w:rStyle w:val="12"/>
          <w:rFonts w:hint="eastAsia" w:ascii="微软雅黑" w:hAnsi="微软雅黑" w:eastAsia="微软雅黑" w:cs="微软雅黑"/>
          <w:i w:val="0"/>
          <w:iCs w:val="0"/>
          <w:caps w:val="0"/>
          <w:color w:val="003399"/>
          <w:spacing w:val="0"/>
          <w:sz w:val="19"/>
          <w:szCs w:val="19"/>
          <w:bdr w:val="none" w:color="auto" w:sz="0" w:space="0"/>
          <w:shd w:val="clear" w:fill="FFFFFF"/>
        </w:rPr>
        <w:t>   </w:t>
      </w:r>
      <w:r>
        <w:rPr>
          <w:rStyle w:val="12"/>
          <w:rFonts w:hint="eastAsia" w:ascii="微软雅黑" w:hAnsi="微软雅黑" w:eastAsia="微软雅黑" w:cs="微软雅黑"/>
          <w:i w:val="0"/>
          <w:iCs w:val="0"/>
          <w:caps w:val="0"/>
          <w:color w:val="003399"/>
          <w:spacing w:val="0"/>
          <w:sz w:val="21"/>
          <w:szCs w:val="21"/>
          <w:bdr w:val="none" w:color="auto" w:sz="0" w:space="0"/>
          <w:shd w:val="clear" w:fill="FFFFFF"/>
        </w:rPr>
        <w:t xml:space="preserve">   </w:t>
      </w:r>
      <w:r>
        <w:rPr>
          <w:sz w:val="24"/>
        </w:rPr>
        <w:t>（2）计算机工程实践/计算机及其应用领域复杂工程问题求解的认知：</w:t>
      </w:r>
    </w:p>
    <w:p>
      <w:pPr>
        <w:ind w:firstLine="480" w:firstLineChars="200"/>
        <w:rPr>
          <w:rFonts w:hint="eastAsia"/>
          <w:sz w:val="24"/>
          <w:szCs w:val="24"/>
        </w:rPr>
      </w:pPr>
      <w:r>
        <w:rPr>
          <w:rFonts w:hint="eastAsia"/>
          <w:sz w:val="24"/>
          <w:szCs w:val="24"/>
        </w:rPr>
        <w:t>在参观完安徽银通物联有限公司后，我对计算机工程实践和计算机及其应用领域复杂工程问题求解有了一些新的认知。</w:t>
      </w:r>
    </w:p>
    <w:p>
      <w:pPr>
        <w:ind w:firstLine="480" w:firstLineChars="200"/>
        <w:rPr>
          <w:rFonts w:hint="eastAsia"/>
          <w:sz w:val="24"/>
          <w:szCs w:val="24"/>
        </w:rPr>
      </w:pPr>
      <w:r>
        <w:rPr>
          <w:rFonts w:hint="eastAsia"/>
          <w:sz w:val="24"/>
          <w:szCs w:val="24"/>
        </w:rPr>
        <w:t>首先，我意识到计算机工程实践在物联网领域的重要性。在银通物联公司的参观中，我看到他们利用物联网技术，将传感器、通信技术、云计算等技术应用于智能物流、智能家居、智能农业等领域，实现了设备之间的互联互通，提升了生产效率和工作便利性。他们通过计算机工程实践的手段，实现了设备之间的智能化协同，为用户带来了更好的体验和服务。</w:t>
      </w:r>
    </w:p>
    <w:p>
      <w:pPr>
        <w:ind w:firstLine="480" w:firstLineChars="200"/>
        <w:rPr>
          <w:rFonts w:hint="eastAsia"/>
          <w:sz w:val="24"/>
          <w:szCs w:val="24"/>
        </w:rPr>
      </w:pPr>
      <w:r>
        <w:rPr>
          <w:rFonts w:hint="eastAsia"/>
          <w:sz w:val="24"/>
          <w:szCs w:val="24"/>
        </w:rPr>
        <w:t>其次，我了解到计算机及其应用领域复杂工程问题求解需要综合多方面的技术。在参观中，我发现银通物联公司的工程师团队涵盖了计算机科学、电子工程、通信技术等多个领域的专业人才，他们共同协作，应用多种技术手段，解决了物联网领域中的复杂工程问题。这种跨学科的团队合作，使得他们能够在技术研发和产品创新方面取得成功。</w:t>
      </w:r>
    </w:p>
    <w:p>
      <w:pPr>
        <w:ind w:firstLine="480" w:firstLineChars="200"/>
        <w:rPr>
          <w:rFonts w:hint="eastAsia"/>
          <w:sz w:val="24"/>
          <w:szCs w:val="24"/>
        </w:rPr>
      </w:pPr>
      <w:r>
        <w:rPr>
          <w:rFonts w:hint="eastAsia"/>
          <w:sz w:val="24"/>
          <w:szCs w:val="24"/>
        </w:rPr>
        <w:t>最后，我认识到计算机工程实践需要不断的创新和适应行业需求的能力。银通物联公司在参观中展示了他们对物联网技术不断的探索和创新，不断推出适应市场需求的产品和解决方案。他们不仅关注技术的发展，还积极了解行业动向，根据用户需求不断进行产品优化和改进。这种持续的创新和适应能力，使得他们在计算机工程实践中能够保持竞争力，为行业发展作出贡献。</w:t>
      </w:r>
    </w:p>
    <w:p>
      <w:pPr>
        <w:spacing w:line="400" w:lineRule="exact"/>
        <w:rPr>
          <w:sz w:val="24"/>
        </w:rPr>
      </w:pPr>
    </w:p>
    <w:p>
      <w:pPr>
        <w:spacing w:line="400" w:lineRule="exact"/>
        <w:rPr>
          <w:rFonts w:ascii="微软雅黑" w:hAnsi="微软雅黑" w:eastAsia="微软雅黑" w:cs="微软雅黑"/>
          <w:i w:val="0"/>
          <w:iCs w:val="0"/>
          <w:caps w:val="0"/>
          <w:color w:val="222222"/>
          <w:spacing w:val="12"/>
          <w:sz w:val="19"/>
          <w:szCs w:val="19"/>
          <w:shd w:val="clear" w:fill="FFFFFF"/>
        </w:rPr>
      </w:pPr>
      <w:r>
        <w:rPr>
          <w:b/>
          <w:kern w:val="0"/>
          <w:sz w:val="24"/>
        </w:rPr>
        <w:t>第</w:t>
      </w:r>
      <w:r>
        <w:rPr>
          <w:rFonts w:hint="eastAsia"/>
          <w:b/>
          <w:kern w:val="0"/>
          <w:sz w:val="24"/>
          <w:lang w:val="en-US" w:eastAsia="zh-CN"/>
        </w:rPr>
        <w:t>四</w:t>
      </w:r>
      <w:r>
        <w:rPr>
          <w:b/>
          <w:kern w:val="0"/>
          <w:sz w:val="24"/>
        </w:rPr>
        <w:t>站：</w:t>
      </w:r>
      <w:r>
        <w:rPr>
          <w:rFonts w:hint="eastAsia" w:ascii="宋体" w:hAnsi="宋体" w:eastAsia="宋体" w:cs="宋体"/>
          <w:i w:val="0"/>
          <w:iCs w:val="0"/>
          <w:caps w:val="0"/>
          <w:color w:val="222222"/>
          <w:spacing w:val="12"/>
          <w:sz w:val="24"/>
          <w:szCs w:val="24"/>
          <w:shd w:val="clear" w:fill="FFFFFF"/>
        </w:rPr>
        <w:t>合肥工业大学智能制造技术研究院</w:t>
      </w:r>
    </w:p>
    <w:p>
      <w:pPr>
        <w:spacing w:line="400" w:lineRule="exact"/>
        <w:rPr>
          <w:sz w:val="24"/>
        </w:rPr>
      </w:pPr>
      <w:r>
        <w:rPr>
          <w:sz w:val="24"/>
        </w:rPr>
        <w:t>（1）公司基本情况：</w:t>
      </w:r>
    </w:p>
    <w:p>
      <w:pPr>
        <w:ind w:firstLine="480" w:firstLineChars="200"/>
        <w:rPr>
          <w:rFonts w:hint="eastAsia"/>
          <w:sz w:val="24"/>
          <w:szCs w:val="24"/>
        </w:rPr>
      </w:pPr>
      <w:r>
        <w:rPr>
          <w:sz w:val="24"/>
          <w:szCs w:val="24"/>
          <w:lang w:val="en-US" w:eastAsia="zh-CN"/>
        </w:rPr>
        <w:t>合肥工业大学智能制造技术研究院（以下简称智能院）是由教育部、工信部、安徽省政府支持，合肥市政府与合肥工业大学共建的主要开展科技成果转化及产业化、高科技企业培育、产教融合人才培养的新型研发机构。</w:t>
      </w:r>
    </w:p>
    <w:p>
      <w:pPr>
        <w:rPr>
          <w:rFonts w:hint="eastAsia"/>
          <w:sz w:val="24"/>
          <w:szCs w:val="24"/>
        </w:rPr>
      </w:pPr>
      <w:r>
        <w:rPr>
          <w:rFonts w:hint="eastAsia"/>
          <w:sz w:val="24"/>
          <w:szCs w:val="24"/>
          <w:lang w:val="en-US" w:eastAsia="zh-CN"/>
        </w:rPr>
        <w:t>智能院成立于2014年，2016年被列为省级“全创改”试点单位，2017年入选合肥综合性国家科学中心，2018年被认定为安徽省首批新型研发机构，2021年获批建设国家首批现代产业学院，2023年被认定为安徽省首批高水平新型研发机构。建院以来，先后获批发改委新型研发机构科教融合产业创新人才培养平台，工信部校企协同就业创业创新示范实践基地，省级大学科技园、科技企业孵化器、技术转移服务机构、创业研究院、小微企业示范基地；荣获2021年合肥市经济高质量发展贡献奖先进集体、第十六届合肥市文明单位称号。</w:t>
      </w:r>
    </w:p>
    <w:p>
      <w:pPr>
        <w:rPr>
          <w:rFonts w:hint="eastAsia"/>
          <w:sz w:val="24"/>
          <w:szCs w:val="24"/>
        </w:rPr>
      </w:pPr>
      <w:r>
        <w:rPr>
          <w:rFonts w:hint="eastAsia"/>
          <w:sz w:val="24"/>
          <w:szCs w:val="24"/>
          <w:lang w:val="en-US" w:eastAsia="zh-CN"/>
        </w:rPr>
        <w:t>智能院围绕“1758”建设思路，即“提升智能制造产业竞争优势”一条主线，主攻“高端智能装备、新材料及其制备工艺、节能与新能源汽车、新能源与储能技术、节能环保技术及装备、健康与医疗设备、物联网及大数据”七大领域，建设“智能制造技术服务中心、产品检测分析服务中心、产品设计服务中心、公共计算服务中心、创新创业中心”五个中心，形成“人才培养引进、关键技术研发、成果培育转化、质量检测评定、产品设计服务、公共计算平台、产业发展智库、国际合作交流”等八大功能；致力于建设成为重要影响力的科技创新基地、成果转化基地、产业人才培育基地。</w:t>
      </w:r>
    </w:p>
    <w:p>
      <w:pPr>
        <w:ind w:firstLine="480" w:firstLineChars="200"/>
        <w:rPr>
          <w:rFonts w:hint="eastAsia"/>
          <w:sz w:val="24"/>
          <w:szCs w:val="24"/>
        </w:rPr>
      </w:pPr>
      <w:r>
        <w:rPr>
          <w:rFonts w:hint="eastAsia"/>
          <w:sz w:val="24"/>
          <w:szCs w:val="24"/>
          <w:lang w:val="en-US" w:eastAsia="zh-CN"/>
        </w:rPr>
        <w:t>智能院已累计培育高科技企业177家，其中国家高新技术企业38家、省级专精特新企业2家、在安徽省股权交易中心科创板挂牌企业5家；组建科技研发及成果转化公共服务平台46个，累计组织百余个科研团队为700余家规上企业提供技术支持；培养硕士研究生4500余名，引入智能制造领域高水平团队20余个、高水平创业团队100余个。</w:t>
      </w:r>
    </w:p>
    <w:p>
      <w:pPr>
        <w:rPr>
          <w:rFonts w:hint="eastAsia"/>
          <w:sz w:val="24"/>
          <w:szCs w:val="24"/>
        </w:rPr>
      </w:pPr>
      <w:r>
        <w:rPr>
          <w:rFonts w:hint="eastAsia"/>
          <w:sz w:val="24"/>
          <w:szCs w:val="24"/>
          <w:lang w:val="en-US" w:eastAsia="zh-CN"/>
        </w:rPr>
        <w:t>智能院位于合肥市包河区花园大道369号，已建成并投入使用总建筑面积18.7万平方米，集技术研发、教学、实训、办公及生活配套为一体的高端现代化研发中心。</w:t>
      </w:r>
    </w:p>
    <w:p>
      <w:pPr>
        <w:numPr>
          <w:ilvl w:val="0"/>
          <w:numId w:val="1"/>
        </w:numPr>
        <w:spacing w:line="400" w:lineRule="exact"/>
        <w:ind w:left="0" w:leftChars="0" w:firstLine="0" w:firstLineChars="0"/>
        <w:rPr>
          <w:sz w:val="24"/>
        </w:rPr>
      </w:pPr>
      <w:r>
        <w:rPr>
          <w:sz w:val="24"/>
        </w:rPr>
        <w:t>计算机工程实践/计算机及其应用领域复杂工程问题求解的认知：</w:t>
      </w:r>
    </w:p>
    <w:p>
      <w:pPr>
        <w:ind w:firstLine="480" w:firstLineChars="200"/>
        <w:rPr>
          <w:rFonts w:hint="eastAsia"/>
          <w:sz w:val="24"/>
          <w:szCs w:val="24"/>
        </w:rPr>
      </w:pPr>
      <w:r>
        <w:rPr>
          <w:rFonts w:hint="eastAsia"/>
          <w:sz w:val="24"/>
          <w:szCs w:val="24"/>
        </w:rPr>
        <w:t>参观完合肥工业大学智能制造技术研究院后，我对计算机工程实践和计算机及其应用领域复杂工程问题求解有了一些新的认知。</w:t>
      </w:r>
    </w:p>
    <w:p>
      <w:pPr>
        <w:ind w:firstLine="480" w:firstLineChars="200"/>
        <w:rPr>
          <w:rFonts w:hint="eastAsia"/>
          <w:sz w:val="24"/>
          <w:szCs w:val="24"/>
        </w:rPr>
      </w:pPr>
      <w:r>
        <w:rPr>
          <w:rFonts w:hint="eastAsia"/>
          <w:sz w:val="24"/>
          <w:szCs w:val="24"/>
        </w:rPr>
        <w:t>首先，我意识到在智能制造领域，计算机工程实践的重要性。智能制造技术研究院利用先进的计算机技术，如人工智能、云计算、大数据分析等，建立了智能制造系统，实现了生产流程的智能化和自动化。他们通过计算机工程实践的手段，提高了生产效率、降低了成本，并实现了定制化生产，满足了不同用户需求。</w:t>
      </w:r>
    </w:p>
    <w:p>
      <w:pPr>
        <w:ind w:firstLine="480" w:firstLineChars="200"/>
        <w:rPr>
          <w:rFonts w:hint="eastAsia"/>
          <w:sz w:val="24"/>
          <w:szCs w:val="24"/>
        </w:rPr>
      </w:pPr>
      <w:r>
        <w:rPr>
          <w:rFonts w:hint="eastAsia"/>
          <w:sz w:val="24"/>
          <w:szCs w:val="24"/>
        </w:rPr>
        <w:t>其次，我了解到在计算机及其应用领域复杂工程问题求解中，跨学科的综合能力至关重要。在参观中，智能制造技术研究院的团队涵盖了机械工程、电气工程、计算机科学等多个学科的专业人才，他们共同合作，将机械制造与计算机技术相结合，解决了智能制造中的复杂工程问题。他们的跨学科团队合作，为解决工程问题提供了更全面、更综合的视角和解决方案。</w:t>
      </w:r>
    </w:p>
    <w:p>
      <w:pPr>
        <w:ind w:firstLine="480" w:firstLineChars="200"/>
        <w:rPr>
          <w:rFonts w:hint="eastAsia"/>
          <w:sz w:val="24"/>
          <w:szCs w:val="24"/>
        </w:rPr>
      </w:pPr>
      <w:r>
        <w:rPr>
          <w:rFonts w:hint="eastAsia"/>
          <w:sz w:val="24"/>
          <w:szCs w:val="24"/>
        </w:rPr>
        <w:t>最后，我认识到计算机工程实践需要持续的创新和发展。智能制造技术研究院在参观中展示了他们对智能制造技术不断的研究和创新，不断推出适应市场需求的新产品和解决方案。他们致力于将最新的计算机技术运用于智能制造领域，不断提升产品性能和服务水平。这种持续的创新和发展态势，使得他们在计算机工程实践中保持领先地位，为行业发展带来积极影响。</w:t>
      </w:r>
    </w:p>
    <w:p>
      <w:pPr>
        <w:numPr>
          <w:numId w:val="0"/>
        </w:numPr>
        <w:spacing w:line="400" w:lineRule="exact"/>
        <w:ind w:leftChars="0"/>
        <w:rPr>
          <w:sz w:val="24"/>
        </w:rPr>
      </w:pPr>
    </w:p>
    <w:p>
      <w:pPr>
        <w:spacing w:line="360" w:lineRule="auto"/>
        <w:rPr>
          <w:b/>
          <w:bCs/>
          <w:sz w:val="32"/>
          <w:szCs w:val="32"/>
        </w:rPr>
      </w:pPr>
      <w:r>
        <w:rPr>
          <w:b/>
          <w:sz w:val="32"/>
          <w:szCs w:val="32"/>
        </w:rPr>
        <w:t>四、</w:t>
      </w:r>
      <w:r>
        <w:rPr>
          <w:b/>
          <w:bCs/>
          <w:sz w:val="32"/>
          <w:szCs w:val="32"/>
        </w:rPr>
        <w:t>总结与心得</w:t>
      </w:r>
    </w:p>
    <w:p>
      <w:pPr>
        <w:spacing w:line="400" w:lineRule="exact"/>
        <w:ind w:firstLine="480" w:firstLineChars="200"/>
        <w:rPr>
          <w:rFonts w:hint="eastAsia"/>
          <w:sz w:val="24"/>
        </w:rPr>
      </w:pPr>
      <w:r>
        <w:rPr>
          <w:rFonts w:hint="eastAsia"/>
          <w:sz w:val="24"/>
        </w:rPr>
        <w:t>在学校组织的认知实习课中，我有幸参观了合肥中科类脑智能技术有限公司、合肥工大高科信息科技股份有限公司、安徽银通物联有限公司以及合肥工业大学智能制造技术研究院这四家公司。通过这次实地参观，我收获颇丰，以下是我参观后的总结与心得：</w:t>
      </w:r>
    </w:p>
    <w:p>
      <w:pPr>
        <w:spacing w:line="400" w:lineRule="exact"/>
        <w:ind w:firstLine="480" w:firstLineChars="200"/>
        <w:rPr>
          <w:rFonts w:hint="eastAsia"/>
          <w:sz w:val="24"/>
        </w:rPr>
      </w:pPr>
      <w:r>
        <w:rPr>
          <w:rFonts w:hint="eastAsia"/>
          <w:sz w:val="24"/>
        </w:rPr>
        <w:t>首先，这次实习课深刻展示了计算机领域在中国的发展现状和前沿技术应用。从中科类脑智能技术有限公司开发的人工智能技术，到高科信息科技公司在互联网和移动应用方面的创新，再到银通物联公司在物联网领域的探索与实践，以及智能制造技术研究院在智能制造领域的探索，每家公司展示了中国企业在计算机技术领域的雄心壮志和独特贡献。</w:t>
      </w:r>
    </w:p>
    <w:p>
      <w:pPr>
        <w:spacing w:line="400" w:lineRule="exact"/>
        <w:ind w:firstLine="480" w:firstLineChars="200"/>
        <w:rPr>
          <w:rFonts w:hint="eastAsia"/>
          <w:sz w:val="24"/>
        </w:rPr>
      </w:pPr>
      <w:r>
        <w:rPr>
          <w:rFonts w:hint="eastAsia"/>
          <w:sz w:val="24"/>
        </w:rPr>
        <w:t>其次，我深刻认识到跨学科合作对解决复杂工程问题的重要性。在参观中，我发现这四家公司的团队都是由不同专业背景的专业人才组成，他们共同协作，应用多种技术手段，解决了各自领域中的复杂工程问题。这种跨学科的团队合作让我看到了计算机工程实践中多元化、综合化的发展趋势。</w:t>
      </w:r>
    </w:p>
    <w:p>
      <w:pPr>
        <w:spacing w:line="400" w:lineRule="exact"/>
        <w:ind w:firstLine="480" w:firstLineChars="200"/>
        <w:rPr>
          <w:rFonts w:hint="eastAsia"/>
          <w:sz w:val="24"/>
        </w:rPr>
      </w:pPr>
      <w:r>
        <w:rPr>
          <w:rFonts w:hint="eastAsia"/>
          <w:sz w:val="24"/>
        </w:rPr>
        <w:t>最后，我认识到创新是企业发展的不竭动力。这四家公司在参观中展示了他们对技术的持续探索和创新，不断推出适应市场需求的产品和解决方案。他们的不懈努力和持续创新精神，让我深受鼓舞。这次实习课让我更加坚定了在未来的学习和工作中，需要不断学习、不断创新的信念。</w:t>
      </w:r>
    </w:p>
    <w:p>
      <w:pPr>
        <w:spacing w:line="400" w:lineRule="exact"/>
        <w:ind w:firstLine="480" w:firstLineChars="200"/>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新宋体">
    <w:panose1 w:val="02010609030101010101"/>
    <w:charset w:val="86"/>
    <w:family w:val="auto"/>
    <w:pitch w:val="default"/>
    <w:sig w:usb0="0000020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Sitka Banner Semibold">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F6EA4"/>
    <w:multiLevelType w:val="singleLevel"/>
    <w:tmpl w:val="0E4F6EA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BmZjdmZWRjZDhlNDA4ZjdhYjc2NmY5ZDZjMzdkZTAifQ=="/>
  </w:docVars>
  <w:rsids>
    <w:rsidRoot w:val="0090333B"/>
    <w:rsid w:val="00024BB2"/>
    <w:rsid w:val="00106892"/>
    <w:rsid w:val="00347145"/>
    <w:rsid w:val="003E701C"/>
    <w:rsid w:val="00421C46"/>
    <w:rsid w:val="004A7B02"/>
    <w:rsid w:val="004E2ECD"/>
    <w:rsid w:val="00570C64"/>
    <w:rsid w:val="005806E9"/>
    <w:rsid w:val="005A7CCB"/>
    <w:rsid w:val="006B3FCC"/>
    <w:rsid w:val="00700BCF"/>
    <w:rsid w:val="0075613D"/>
    <w:rsid w:val="00781608"/>
    <w:rsid w:val="007C0636"/>
    <w:rsid w:val="008523A8"/>
    <w:rsid w:val="00861276"/>
    <w:rsid w:val="00867A18"/>
    <w:rsid w:val="0090333B"/>
    <w:rsid w:val="00943993"/>
    <w:rsid w:val="009820DB"/>
    <w:rsid w:val="009A5044"/>
    <w:rsid w:val="00AA4396"/>
    <w:rsid w:val="00AB3478"/>
    <w:rsid w:val="00B11A5C"/>
    <w:rsid w:val="00B403BA"/>
    <w:rsid w:val="00B85B32"/>
    <w:rsid w:val="00BB51EB"/>
    <w:rsid w:val="00BC1295"/>
    <w:rsid w:val="00CC4B0C"/>
    <w:rsid w:val="00D143F1"/>
    <w:rsid w:val="00DB4A4C"/>
    <w:rsid w:val="00E30FBC"/>
    <w:rsid w:val="00E93E5E"/>
    <w:rsid w:val="00EB47CA"/>
    <w:rsid w:val="00F008E4"/>
    <w:rsid w:val="00F40833"/>
    <w:rsid w:val="00FA4532"/>
    <w:rsid w:val="00FD72FC"/>
    <w:rsid w:val="0F7F00F1"/>
    <w:rsid w:val="16146821"/>
    <w:rsid w:val="17C82D2C"/>
    <w:rsid w:val="25AE61AD"/>
    <w:rsid w:val="384C2632"/>
    <w:rsid w:val="3B4972B1"/>
    <w:rsid w:val="65492AB6"/>
    <w:rsid w:val="6ED57F01"/>
    <w:rsid w:val="714A5A12"/>
    <w:rsid w:val="7CD55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rPr>
      <w:szCs w:val="20"/>
    </w:r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paragraph" w:customStyle="1" w:styleId="13">
    <w:name w:val="Char"/>
    <w:basedOn w:val="1"/>
    <w:qFormat/>
    <w:uiPriority w:val="0"/>
    <w:pPr>
      <w:tabs>
        <w:tab w:val="left" w:pos="360"/>
      </w:tabs>
      <w:snapToGrid w:val="0"/>
      <w:spacing w:line="360" w:lineRule="auto"/>
      <w:ind w:firstLine="480" w:firstLineChars="200"/>
    </w:pPr>
    <w:rPr>
      <w:szCs w:val="20"/>
    </w:rPr>
  </w:style>
  <w:style w:type="character" w:customStyle="1" w:styleId="14">
    <w:name w:val="标题 1 字符"/>
    <w:basedOn w:val="11"/>
    <w:link w:val="2"/>
    <w:qFormat/>
    <w:uiPriority w:val="9"/>
    <w:rPr>
      <w:rFonts w:ascii="Times New Roman" w:hAnsi="Times New Roman" w:eastAsia="宋体" w:cs="Times New Roman"/>
      <w:b/>
      <w:bCs/>
      <w:kern w:val="44"/>
      <w:sz w:val="44"/>
      <w:szCs w:val="44"/>
    </w:rPr>
  </w:style>
  <w:style w:type="character" w:customStyle="1" w:styleId="15">
    <w:name w:val="标题 2 字符"/>
    <w:basedOn w:val="11"/>
    <w:link w:val="3"/>
    <w:qFormat/>
    <w:uiPriority w:val="9"/>
    <w:rPr>
      <w:rFonts w:asciiTheme="majorHAnsi" w:hAnsiTheme="majorHAnsi" w:eastAsiaTheme="majorEastAsia" w:cstheme="majorBidi"/>
      <w:b/>
      <w:bCs/>
      <w:sz w:val="32"/>
      <w:szCs w:val="32"/>
    </w:rPr>
  </w:style>
  <w:style w:type="character" w:customStyle="1" w:styleId="16">
    <w:name w:val="页眉 字符"/>
    <w:basedOn w:val="11"/>
    <w:link w:val="7"/>
    <w:qFormat/>
    <w:uiPriority w:val="99"/>
    <w:rPr>
      <w:rFonts w:ascii="Times New Roman" w:hAnsi="Times New Roman" w:eastAsia="宋体" w:cs="Times New Roman"/>
      <w:sz w:val="18"/>
      <w:szCs w:val="18"/>
    </w:rPr>
  </w:style>
  <w:style w:type="character" w:customStyle="1" w:styleId="17">
    <w:name w:val="页脚 字符"/>
    <w:basedOn w:val="11"/>
    <w:link w:val="6"/>
    <w:qFormat/>
    <w:uiPriority w:val="99"/>
    <w:rPr>
      <w:rFonts w:ascii="Times New Roman" w:hAnsi="Times New Roman" w:eastAsia="宋体" w:cs="Times New Roman"/>
      <w:sz w:val="18"/>
      <w:szCs w:val="18"/>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8</Pages>
  <Words>1864</Words>
  <Characters>1977</Characters>
  <Lines>16</Lines>
  <Paragraphs>4</Paragraphs>
  <TotalTime>1</TotalTime>
  <ScaleCrop>false</ScaleCrop>
  <LinksUpToDate>false</LinksUpToDate>
  <CharactersWithSpaces>2233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2022-01-03T04:07:00Z</dcterms:created>
  <dc:creator>Administrator</dc:creator>
  <cp:lastModifiedBy>WPS_1694572622</cp:lastModifiedBy>
  <dcterms:modified xsi:type="dcterms:W3CDTF">2024-06-17T14:26:05Z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00208078A03C411F81F34E6331CE3469_13</vt:lpwstr>
  </property>
</Properties>
</file>