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b w:val="false"/>
          <w:bCs w:val="false"/>
          <w:i w:val="false"/>
          <w:iCs w:val="false"/>
          <w:color w:val="1B1F1D"/>
          <w:sz w:val="21"/>
          <w:szCs w:val="21"/>
        </w:rPr>
        <w:t xml:space="preserve"/>
      </w:r>
    </w:p>
    <w:p>
      <w:pPr>
        <w:spacing w:after="120"/>
        <w:jc w:val="center"/>
      </w:pPr>
      <w:r>
        <w:rPr>
          <w:b/>
          <w:bCs/>
          <w:color w:val="1B1F1D"/>
          <w:sz w:val="72"/>
          <w:szCs w:val="72"/>
        </w:rPr>
        <w:t xml:space="preserve">WHOLECLAIM™</w:t>
      </w:r>
    </w:p>
    <w:p>
      <w:pPr>
        <w:spacing w:after="400"/>
        <w:jc w:val="center"/>
      </w:pPr>
      <w:r>
        <w:rPr>
          <w:b/>
          <w:bCs/>
          <w:color w:val="1E4B3C"/>
          <w:sz w:val="32"/>
          <w:szCs w:val="32"/>
        </w:rPr>
        <w:t xml:space="preserve">COMPANY OPERATING MANUAL</w:t>
      </w:r>
    </w:p>
    <w:p>
      <w:pPr>
        <w:spacing w:after="80"/>
        <w:jc w:val="center"/>
      </w:pPr>
      <w:r>
        <w:rPr>
          <w:b w:val="false"/>
          <w:bCs w:val="false"/>
          <w:i w:val="false"/>
          <w:iCs w:val="false"/>
          <w:color w:val="1B1F1D"/>
          <w:sz w:val="24"/>
          <w:szCs w:val="24"/>
        </w:rPr>
        <w:t xml:space="preserve">Version 1.0</w:t>
      </w:r>
    </w:p>
    <w:p>
      <w:pPr>
        <w:spacing w:after="400"/>
        <w:jc w:val="center"/>
      </w:pPr>
      <w:r>
        <w:rPr>
          <w:b/>
          <w:bCs/>
          <w:i w:val="false"/>
          <w:iCs w:val="false"/>
          <w:color w:val="A32C1C"/>
          <w:sz w:val="22"/>
          <w:szCs w:val="22"/>
        </w:rPr>
        <w:t xml:space="preserve">WORKING DRAFT — PENDING NAME CLEARANCE</w:t>
      </w:r>
    </w:p>
    <w:p>
      <w:pPr>
        <w:spacing w:after="60"/>
        <w:jc w:val="center"/>
      </w:pPr>
      <w:r>
        <w:rPr>
          <w:b w:val="false"/>
          <w:bCs w:val="false"/>
          <w:i w:val="false"/>
          <w:iCs w:val="false"/>
          <w:color w:val="63665F"/>
          <w:sz w:val="20"/>
          <w:szCs w:val="20"/>
        </w:rPr>
        <w:t xml:space="preserve">Prepared for: WholeClaim Technologies LLC (working name)</w:t>
      </w:r>
    </w:p>
    <w:p>
      <w:pPr>
        <w:spacing w:after="60"/>
        <w:jc w:val="center"/>
      </w:pPr>
      <w:r>
        <w:rPr>
          <w:b w:val="false"/>
          <w:bCs w:val="false"/>
          <w:i w:val="false"/>
          <w:iCs w:val="false"/>
          <w:color w:val="63665F"/>
          <w:sz w:val="20"/>
          <w:szCs w:val="20"/>
        </w:rPr>
        <w:t xml:space="preserve">Prepared by: Founding Team</w:t>
      </w:r>
    </w:p>
    <w:p>
      <w:pPr>
        <w:spacing w:after="60"/>
        <w:jc w:val="center"/>
      </w:pPr>
      <w:r>
        <w:rPr>
          <w:b w:val="false"/>
          <w:bCs w:val="false"/>
          <w:i w:val="false"/>
          <w:iCs w:val="false"/>
          <w:color w:val="63665F"/>
          <w:sz w:val="20"/>
          <w:szCs w:val="20"/>
        </w:rPr>
        <w:t xml:space="preserve">Status: Internal · Confidential</w:t>
      </w:r>
    </w:p>
    <w:p>
      <w:pPr>
        <w:spacing w:after="400"/>
        <w:jc w:val="center"/>
      </w:pPr>
      <w:r>
        <w:rPr>
          <w:b w:val="false"/>
          <w:bCs w:val="false"/>
          <w:i w:val="false"/>
          <w:iCs w:val="false"/>
          <w:color w:val="63665F"/>
          <w:sz w:val="20"/>
          <w:szCs w:val="20"/>
        </w:rPr>
        <w:t xml:space="preserve">July 2026</w:t>
      </w:r>
    </w:p>
    <w:p>
      <w:pPr>
        <w:spacing w:after="120"/>
        <w:jc w:val="center"/>
      </w:pPr>
      <w:r>
        <w:rPr>
          <w:b w:val="false"/>
          <w:bCs w:val="false"/>
          <w:i/>
          <w:iCs/>
          <w:color w:val="1E4B3C"/>
          <w:sz w:val="22"/>
          <w:szCs w:val="22"/>
        </w:rPr>
        <w:t xml:space="preserve">Every document. Every deadline. Every detail.</w:t>
      </w:r>
    </w:p>
    <w:p>
      <w:r>
        <w:br w:type="page"/>
      </w:r>
    </w:p>
    <w:p>
      <w:pPr>
        <w:pStyle w:val="Heading1"/>
        <w:spacing w:after="160" w:before="240"/>
      </w:pPr>
      <w:r>
        <w:t xml:space="preserve">Document Control</w:t>
      </w:r>
    </w:p>
    <w:p>
      <w:pPr>
        <w:pStyle w:val="Heading2"/>
        <w:spacing w:after="120" w:before="200"/>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shd w:fill="E4EBE6" w:val="clear"/>
            <w:tcMar>
              <w:top w:type="dxa" w:w="70"/>
              <w:left w:type="dxa" w:w="110"/>
              <w:bottom w:type="dxa" w:w="70"/>
              <w:right w:type="dxa" w:w="110"/>
            </w:tcMar>
          </w:tcPr>
          <w:p>
            <w:pPr>
              <w:spacing w:after="0"/>
            </w:pPr>
            <w:r>
              <w:rPr>
                <w:b/>
                <w:bCs/>
                <w:color w:val="1B1F1D"/>
                <w:sz w:val="18"/>
                <w:szCs w:val="18"/>
              </w:rPr>
              <w:t xml:space="preserve">Version</w:t>
            </w:r>
          </w:p>
        </w:tc>
        <w:tc>
          <w:tcPr>
            <w:tcW w:type="dxa" w:w="1600"/>
            <w:shd w:fill="E4EBE6" w:val="clear"/>
            <w:tcMar>
              <w:top w:type="dxa" w:w="70"/>
              <w:left w:type="dxa" w:w="110"/>
              <w:bottom w:type="dxa" w:w="70"/>
              <w:right w:type="dxa" w:w="110"/>
            </w:tcMar>
          </w:tcPr>
          <w:p>
            <w:pPr>
              <w:spacing w:after="0"/>
            </w:pPr>
            <w:r>
              <w:rPr>
                <w:b/>
                <w:bCs/>
                <w:color w:val="1B1F1D"/>
                <w:sz w:val="18"/>
                <w:szCs w:val="18"/>
              </w:rPr>
              <w:t xml:space="preserve">Date</w:t>
            </w:r>
          </w:p>
        </w:tc>
        <w:tc>
          <w:tcPr>
            <w:tcW w:type="dxa" w:w="6560"/>
            <w:shd w:fill="E4EBE6" w:val="clear"/>
            <w:tcMar>
              <w:top w:type="dxa" w:w="70"/>
              <w:left w:type="dxa" w:w="110"/>
              <w:bottom w:type="dxa" w:w="70"/>
              <w:right w:type="dxa" w:w="110"/>
            </w:tcMar>
          </w:tcPr>
          <w:p>
            <w:pPr>
              <w:spacing w:after="0"/>
            </w:pPr>
            <w:r>
              <w:rPr>
                <w:b/>
                <w:bCs/>
                <w:color w:val="1B1F1D"/>
                <w:sz w:val="18"/>
                <w:szCs w:val="18"/>
              </w:rPr>
              <w:t xml:space="preserve">Change</w:t>
            </w:r>
          </w:p>
        </w:tc>
      </w:tr>
      <w:tr>
        <w:tc>
          <w:tcPr>
            <w:tcW w:type="dxa" w:w="1200"/>
            <w:tcMar>
              <w:top w:type="dxa" w:w="70"/>
              <w:left w:type="dxa" w:w="110"/>
              <w:bottom w:type="dxa" w:w="70"/>
              <w:right w:type="dxa" w:w="110"/>
            </w:tcMar>
          </w:tcPr>
          <w:p>
            <w:pPr>
              <w:spacing w:after="0"/>
            </w:pPr>
            <w:r>
              <w:rPr>
                <w:b w:val="false"/>
                <w:bCs w:val="false"/>
                <w:color w:val="1B1F1D"/>
                <w:sz w:val="18"/>
                <w:szCs w:val="18"/>
              </w:rPr>
              <w:t xml:space="preserve">1.0</w:t>
            </w:r>
          </w:p>
        </w:tc>
        <w:tc>
          <w:tcPr>
            <w:tcW w:type="dxa" w:w="1600"/>
            <w:tcMar>
              <w:top w:type="dxa" w:w="70"/>
              <w:left w:type="dxa" w:w="110"/>
              <w:bottom w:type="dxa" w:w="70"/>
              <w:right w:type="dxa" w:w="110"/>
            </w:tcMar>
          </w:tcPr>
          <w:p>
            <w:pPr>
              <w:spacing w:after="0"/>
            </w:pPr>
            <w:r>
              <w:rPr>
                <w:b w:val="false"/>
                <w:bCs w:val="false"/>
                <w:color w:val="1B1F1D"/>
                <w:sz w:val="18"/>
                <w:szCs w:val="18"/>
              </w:rPr>
              <w:t xml:space="preserve">Jul 12, 2026</w:t>
            </w:r>
          </w:p>
        </w:tc>
        <w:tc>
          <w:tcPr>
            <w:tcW w:type="dxa" w:w="6560"/>
            <w:tcMar>
              <w:top w:type="dxa" w:w="70"/>
              <w:left w:type="dxa" w:w="110"/>
              <w:bottom w:type="dxa" w:w="70"/>
              <w:right w:type="dxa" w:w="110"/>
            </w:tcMar>
          </w:tcPr>
          <w:p>
            <w:pPr>
              <w:spacing w:after="0"/>
            </w:pPr>
            <w:r>
              <w:rPr>
                <w:b w:val="false"/>
                <w:bCs w:val="false"/>
                <w:color w:val="1B1F1D"/>
                <w:sz w:val="18"/>
                <w:szCs w:val="18"/>
              </w:rPr>
              <w:t xml:space="preserve">Initial release. Volumes I, III, IV, V, VII, X consolidated from canonical sources; Volume II (PRD) written new; Volumes VI, VIII, IX deferred with triggers.</w:t>
            </w:r>
          </w:p>
        </w:tc>
      </w:tr>
    </w:tbl>
    <w:p>
      <w:pPr>
        <w:spacing w:after="120"/>
      </w:pPr>
      <w:r>
        <w:rPr>
          <w:b w:val="false"/>
          <w:bCs w:val="false"/>
          <w:i w:val="false"/>
          <w:iCs w:val="false"/>
          <w:color w:val="1B1F1D"/>
          <w:sz w:val="21"/>
          <w:szCs w:val="21"/>
        </w:rPr>
        <w:t xml:space="preserve"/>
      </w:r>
    </w:p>
    <w:p>
      <w:pPr>
        <w:pStyle w:val="Heading2"/>
        <w:spacing w:after="120" w:before="200"/>
      </w:pPr>
      <w:r>
        <w:t xml:space="preserve">How to Use This Manual</w:t>
      </w:r>
    </w:p>
    <w:p>
      <w:pPr>
        <w:spacing w:after="120"/>
      </w:pPr>
      <w:r>
        <w:rPr>
          <w:b w:val="false"/>
          <w:bCs w:val="false"/>
          <w:i w:val="false"/>
          <w:iCs w:val="false"/>
          <w:color w:val="1B1F1D"/>
          <w:sz w:val="21"/>
          <w:szCs w:val="21"/>
        </w:rPr>
        <w:t xml:space="preserve">This manual is the single source of truth for anyone who works on WholeClaim — designers, developers, marketers, attorneys, and future team members. Each volume states its canonical source. Where a living file (code or design artifact) is the source, this manual summarizes and the file governs.</w:t>
      </w:r>
    </w:p>
    <w:p>
      <w:pPr>
        <w:spacing w:after="120"/>
      </w:pPr>
      <w:r>
        <w:rPr>
          <w:b w:val="false"/>
          <w:bCs w:val="false"/>
          <w:i w:val="false"/>
          <w:iCs w:val="false"/>
          <w:color w:val="1B1F1D"/>
          <w:sz w:val="21"/>
          <w:szCs w:val="21"/>
        </w:rPr>
        <w:t xml:space="preserve">Every page carries the working-draft marking until name clearance completes (Volume I, §14). If clearance forces a rename, only the mark changes — the system, product, and rules in this manual survive intact.</w:t>
      </w:r>
    </w:p>
    <w:p>
      <w:pPr>
        <w:spacing w:after="120"/>
      </w:pPr>
      <w:r>
        <w:rPr>
          <w:b w:val="false"/>
          <w:bCs w:val="false"/>
          <w:i w:val="false"/>
          <w:iCs w:val="false"/>
          <w:color w:val="1B1F1D"/>
          <w:sz w:val="21"/>
          <w:szCs w:val="21"/>
        </w:rPr>
        <w:t xml:space="preserve"/>
      </w:r>
    </w:p>
    <w:p>
      <w:pPr>
        <w:pStyle w:val="Heading2"/>
        <w:spacing w:after="120" w:before="200"/>
      </w:pPr>
      <w:r>
        <w:t xml:space="preserve">Volume Status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360"/>
      </w:tblGrid>
      <w:tr>
        <w:trPr>
          <w:tblHeader/>
        </w:trPr>
        <w:tc>
          <w:tcPr>
            <w:tcW w:type="dxa" w:w="700"/>
            <w:shd w:fill="E4EBE6" w:val="clear"/>
            <w:tcMar>
              <w:top w:type="dxa" w:w="70"/>
              <w:left w:type="dxa" w:w="110"/>
              <w:bottom w:type="dxa" w:w="70"/>
              <w:right w:type="dxa" w:w="110"/>
            </w:tcMar>
          </w:tcPr>
          <w:p>
            <w:pPr>
              <w:spacing w:after="0"/>
            </w:pPr>
            <w:r>
              <w:rPr>
                <w:b/>
                <w:bCs/>
                <w:color w:val="1B1F1D"/>
                <w:sz w:val="18"/>
                <w:szCs w:val="18"/>
              </w:rPr>
              <w:t xml:space="preserve">Vol</w:t>
            </w:r>
          </w:p>
        </w:tc>
        <w:tc>
          <w:tcPr>
            <w:tcW w:type="dxa" w:w="3300"/>
            <w:shd w:fill="E4EBE6" w:val="clear"/>
            <w:tcMar>
              <w:top w:type="dxa" w:w="70"/>
              <w:left w:type="dxa" w:w="110"/>
              <w:bottom w:type="dxa" w:w="70"/>
              <w:right w:type="dxa" w:w="110"/>
            </w:tcMar>
          </w:tcPr>
          <w:p>
            <w:pPr>
              <w:spacing w:after="0"/>
            </w:pPr>
            <w:r>
              <w:rPr>
                <w:b/>
                <w:bCs/>
                <w:color w:val="1B1F1D"/>
                <w:sz w:val="18"/>
                <w:szCs w:val="18"/>
              </w:rPr>
              <w:t xml:space="preserve">Title</w:t>
            </w:r>
          </w:p>
        </w:tc>
        <w:tc>
          <w:tcPr>
            <w:tcW w:type="dxa" w:w="5360"/>
            <w:shd w:fill="E4EBE6" w:val="clear"/>
            <w:tcMar>
              <w:top w:type="dxa" w:w="70"/>
              <w:left w:type="dxa" w:w="110"/>
              <w:bottom w:type="dxa" w:w="70"/>
              <w:right w:type="dxa" w:w="110"/>
            </w:tcMar>
          </w:tcPr>
          <w:p>
            <w:pPr>
              <w:spacing w:after="0"/>
            </w:pPr>
            <w:r>
              <w:rPr>
                <w:b/>
                <w:bCs/>
                <w:color w:val="1B1F1D"/>
                <w:sz w:val="18"/>
                <w:szCs w:val="18"/>
              </w:rPr>
              <w:t xml:space="preserve">Status in v1.0</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I</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Brand Book</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Canonical — consolidated in this manual (source: wholeclaim-brand-book-v1-1.md)</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II</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Product Requirements Document</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NEW in this release — written for the v1.0 web app</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III</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Design System</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Canonical summary — living source: wholeclaim-design-system.jsx</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IV</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Engineering Architecture</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Canonical — source: wholeclaim-production-build-brief.md</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V</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Marketing Playbook</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Canonical essentials — source: claim-grade-launch-playbook.md + line kit</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VI</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Website Copy</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DEFERRED — next working session; gates public launch</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VII</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Launch Playbook</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Canonical — consolidated in this manual</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VIII</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Investor Deck</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DEFERRED — trigger: 100 paying users OR a deliberate fundraise decision</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IX</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Customer Support Manual</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DEFERRED — trigger: first 50 real support tickets</w:t>
            </w:r>
          </w:p>
        </w:tc>
      </w:tr>
      <w:tr>
        <w:tc>
          <w:tcPr>
            <w:tcW w:type="dxa" w:w="700"/>
            <w:tcMar>
              <w:top w:type="dxa" w:w="70"/>
              <w:left w:type="dxa" w:w="110"/>
              <w:bottom w:type="dxa" w:w="70"/>
              <w:right w:type="dxa" w:w="110"/>
            </w:tcMar>
          </w:tcPr>
          <w:p>
            <w:pPr>
              <w:spacing w:after="0"/>
            </w:pPr>
            <w:r>
              <w:rPr>
                <w:b w:val="false"/>
                <w:bCs w:val="false"/>
                <w:color w:val="1B1F1D"/>
                <w:sz w:val="18"/>
                <w:szCs w:val="18"/>
              </w:rPr>
              <w:t xml:space="preserve">X</w:t>
            </w:r>
          </w:p>
        </w:tc>
        <w:tc>
          <w:tcPr>
            <w:tcW w:type="dxa" w:w="3300"/>
            <w:tcMar>
              <w:top w:type="dxa" w:w="70"/>
              <w:left w:type="dxa" w:w="110"/>
              <w:bottom w:type="dxa" w:w="70"/>
              <w:right w:type="dxa" w:w="110"/>
            </w:tcMar>
          </w:tcPr>
          <w:p>
            <w:pPr>
              <w:spacing w:after="0"/>
            </w:pPr>
            <w:r>
              <w:rPr>
                <w:b w:val="false"/>
                <w:bCs w:val="false"/>
                <w:color w:val="1B1F1D"/>
                <w:sz w:val="18"/>
                <w:szCs w:val="18"/>
              </w:rPr>
              <w:t xml:space="preserve">Legal &amp; Compliance Manual</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Canonical — consolidated in this manual</w:t>
            </w:r>
          </w:p>
        </w:tc>
      </w:tr>
    </w:tbl>
    <w:p>
      <w:pPr>
        <w:spacing w:after="120"/>
      </w:pPr>
      <w:r>
        <w:rPr>
          <w:b w:val="false"/>
          <w:bCs w:val="false"/>
          <w:i w:val="false"/>
          <w:iCs w:val="false"/>
          <w:color w:val="1B1F1D"/>
          <w:sz w:val="21"/>
          <w:szCs w:val="21"/>
        </w:rPr>
        <w:t xml:space="preserve"/>
      </w:r>
    </w:p>
    <w:p>
      <w:pPr>
        <w:spacing w:after="120"/>
      </w:pPr>
      <w:r>
        <w:rPr>
          <w:b w:val="false"/>
          <w:bCs w:val="false"/>
          <w:i/>
          <w:iCs/>
          <w:color w:val="63665F"/>
          <w:sz w:val="21"/>
          <w:szCs w:val="21"/>
        </w:rPr>
        <w:t xml:space="preserve">Deferral principle: documents earn their page count from evidence. A support manual written before the first ticket, or an investor deck with an empty traction slide, is fiction formatted professionally. The triggers above convert fiction into record.</w:t>
      </w:r>
    </w:p>
    <w:p>
      <w:r>
        <w:br w:type="page"/>
      </w:r>
    </w:p>
    <w:p>
      <w:pPr>
        <w:pStyle w:val="Heading1"/>
        <w:spacing w:after="160" w:before="240"/>
      </w:pPr>
      <w:r>
        <w:t xml:space="preserve">Table of Contents</w:t>
      </w:r>
    </w:p>
    <w:p>
      <w:pPr>
        <w:spacing w:after="120"/>
      </w:pPr>
      <w:r>
        <w:rPr>
          <w:b w:val="false"/>
          <w:bCs w:val="false"/>
          <w:i/>
          <w:iCs/>
          <w:color w:val="63665F"/>
          <w:sz w:val="18"/>
          <w:szCs w:val="18"/>
        </w:rPr>
        <w:t xml:space="preserve">In Microsoft Word: References → Update Table to populate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t xml:space="preserve">Volume I — Brand Book</w:t>
      </w:r>
    </w:p>
    <w:p>
      <w:pPr>
        <w:pStyle w:val="Heading2"/>
        <w:spacing w:after="120" w:before="200"/>
      </w:pPr>
      <w:r>
        <w:t xml:space="preserve">1.1 Brand Manifesto</w:t>
      </w:r>
    </w:p>
    <w:p>
      <w:pPr>
        <w:spacing w:after="120"/>
      </w:pPr>
      <w:r>
        <w:rPr>
          <w:b w:val="false"/>
          <w:bCs w:val="false"/>
          <w:i w:val="false"/>
          <w:iCs w:val="false"/>
          <w:color w:val="1B1F1D"/>
          <w:sz w:val="21"/>
          <w:szCs w:val="21"/>
        </w:rPr>
        <w:t xml:space="preserve">Insurance companies manage claims with sophisticated software, standardized workflows, and experienced professionals. Most homeowners are left organizing photos, receipts, emails, and estimates on their own. WholeClaim exists to close that gap: we help homeowners organize, understand, and document their insurance claims so they can confidently manage their own claim records from start to finish. We don't replace lawyers or public adjusters. We help people build better documentation.</w:t>
      </w:r>
    </w:p>
    <w:p>
      <w:pPr>
        <w:spacing w:after="120"/>
      </w:pPr>
      <w:r>
        <w:rPr>
          <w:b w:val="false"/>
          <w:bCs w:val="false"/>
          <w:i w:val="false"/>
          <w:iCs w:val="false"/>
          <w:color w:val="1B1F1D"/>
          <w:sz w:val="21"/>
          <w:szCs w:val="21"/>
        </w:rPr>
        <w:t xml:space="preserve">The purpose ladder: documentation creates clarity; clarity creates confidence; confidence helps people make informed decisions.</w:t>
      </w:r>
    </w:p>
    <w:p>
      <w:pPr>
        <w:pStyle w:val="Heading2"/>
        <w:spacing w:after="120" w:before="200"/>
      </w:pPr>
      <w:r>
        <w:t xml:space="preserve">1.2 Mission, Vision, Promise</w:t>
      </w:r>
    </w:p>
    <w:p>
      <w:pPr>
        <w:pStyle w:val="ListParagraph"/>
        <w:numPr>
          <w:ilvl w:val="0"/>
          <w:numId w:val="2"/>
        </w:numPr>
        <w:spacing w:after="60"/>
      </w:pPr>
      <w:r>
        <w:rPr>
          <w:b w:val="false"/>
          <w:bCs w:val="false"/>
          <w:color w:val="1B1F1D"/>
          <w:sz w:val="21"/>
          <w:szCs w:val="21"/>
        </w:rPr>
        <w:t xml:space="preserve">Mission: help every homeowner create a complete, organized insurance claim file.</w:t>
      </w:r>
    </w:p>
    <w:p>
      <w:pPr>
        <w:pStyle w:val="ListParagraph"/>
        <w:numPr>
          <w:ilvl w:val="0"/>
          <w:numId w:val="2"/>
        </w:numPr>
        <w:spacing w:after="60"/>
      </w:pPr>
      <w:r>
        <w:rPr>
          <w:b w:val="false"/>
          <w:bCs w:val="false"/>
          <w:color w:val="1B1F1D"/>
          <w:sz w:val="21"/>
          <w:szCs w:val="21"/>
        </w:rPr>
        <w:t xml:space="preserve">Vision: become the most trusted claim documentation platform for homeowners and small property owners in the United States — and from there, the documentation layer of homeownership (inspections, inventories, maintenance, contractor records).</w:t>
      </w:r>
    </w:p>
    <w:p>
      <w:pPr>
        <w:pStyle w:val="ListParagraph"/>
        <w:numPr>
          <w:ilvl w:val="0"/>
          <w:numId w:val="2"/>
        </w:numPr>
        <w:spacing w:after="60"/>
      </w:pPr>
      <w:r>
        <w:rPr>
          <w:b w:val="false"/>
          <w:bCs w:val="false"/>
          <w:color w:val="1B1F1D"/>
          <w:sz w:val="21"/>
          <w:szCs w:val="21"/>
        </w:rPr>
        <w:t xml:space="preserve">Brand promise: Every document. Every deadline. Every detail.</w:t>
      </w:r>
    </w:p>
    <w:p>
      <w:pPr>
        <w:pStyle w:val="Heading2"/>
        <w:spacing w:after="120" w:before="200"/>
      </w:pPr>
      <w:r>
        <w:t xml:space="preserve">1.3 Positioning — We Are / We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4EBE6" w:val="clear"/>
            <w:tcMar>
              <w:top w:type="dxa" w:w="70"/>
              <w:left w:type="dxa" w:w="110"/>
              <w:bottom w:type="dxa" w:w="70"/>
              <w:right w:type="dxa" w:w="110"/>
            </w:tcMar>
          </w:tcPr>
          <w:p>
            <w:pPr>
              <w:spacing w:after="0"/>
            </w:pPr>
            <w:r>
              <w:rPr>
                <w:b/>
                <w:bCs/>
                <w:color w:val="1B1F1D"/>
                <w:sz w:val="18"/>
                <w:szCs w:val="18"/>
              </w:rPr>
              <w:t xml:space="preserve">We are</w:t>
            </w:r>
          </w:p>
        </w:tc>
        <w:tc>
          <w:tcPr>
            <w:tcW w:type="dxa" w:w="4680"/>
            <w:shd w:fill="E4EBE6" w:val="clear"/>
            <w:tcMar>
              <w:top w:type="dxa" w:w="70"/>
              <w:left w:type="dxa" w:w="110"/>
              <w:bottom w:type="dxa" w:w="70"/>
              <w:right w:type="dxa" w:w="110"/>
            </w:tcMar>
          </w:tcPr>
          <w:p>
            <w:pPr>
              <w:spacing w:after="0"/>
            </w:pPr>
            <w:r>
              <w:rPr>
                <w:b/>
                <w:bCs/>
                <w:color w:val="1B1F1D"/>
                <w:sz w:val="18"/>
                <w:szCs w:val="18"/>
              </w:rPr>
              <w:t xml:space="preserve">We are NOT</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Claim documentation software</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An insurance company</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AI organization platform</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A public adjuster</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Insurance education technology</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A law firm</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Evidence management platform</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A claims negotiator</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Timeline and deadline builder</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Legal advice</w:t>
            </w:r>
          </w:p>
        </w:tc>
      </w:tr>
    </w:tbl>
    <w:p>
      <w:pPr>
        <w:spacing w:after="120"/>
      </w:pPr>
      <w:r>
        <w:rPr>
          <w:b w:val="false"/>
          <w:bCs w:val="false"/>
          <w:i w:val="false"/>
          <w:iCs w:val="false"/>
          <w:color w:val="1B1F1D"/>
          <w:sz w:val="21"/>
          <w:szCs w:val="21"/>
        </w:rPr>
        <w:t xml:space="preserve"/>
      </w:r>
    </w:p>
    <w:p>
      <w:pPr>
        <w:spacing w:after="120"/>
      </w:pPr>
      <w:r>
        <w:rPr>
          <w:b w:val="false"/>
          <w:bCs w:val="false"/>
          <w:i w:val="false"/>
          <w:iCs w:val="false"/>
          <w:color w:val="1B1F1D"/>
          <w:sz w:val="21"/>
          <w:szCs w:val="21"/>
        </w:rPr>
        <w:t xml:space="preserve">The right column is a legal boundary and a brand asset. It appears in the product footer, the FAQ, marketing fine print, and app-store review notes.</w:t>
      </w:r>
    </w:p>
    <w:p>
      <w:pPr>
        <w:pStyle w:val="Heading2"/>
        <w:spacing w:after="120" w:before="200"/>
      </w:pPr>
      <w:r>
        <w:t xml:space="preserve">1.4 Voice — The Two-Register System</w:t>
      </w:r>
    </w:p>
    <w:p>
      <w:pPr>
        <w:spacing w:after="120"/>
      </w:pPr>
      <w:r>
        <w:rPr>
          <w:b w:val="false"/>
          <w:bCs w:val="false"/>
          <w:i w:val="false"/>
          <w:iCs w:val="false"/>
          <w:color w:val="1B1F1D"/>
          <w:sz w:val="21"/>
          <w:szCs w:val="21"/>
        </w:rPr>
        <w:t xml:space="preserve">Product register (app, emails, support, legal-adjacent surfaces): professional, calm, organized, prepared. Never dramatic, never salesy, never fear-based.</w:t>
      </w:r>
    </w:p>
    <w:p>
      <w:pPr>
        <w:spacing w:after="120"/>
      </w:pPr>
      <w:r>
        <w:rPr>
          <w:b w:val="false"/>
          <w:bCs w:val="false"/>
          <w:i w:val="false"/>
          <w:iCs w:val="false"/>
          <w:color w:val="1B1F1D"/>
          <w:sz w:val="21"/>
          <w:szCs w:val="21"/>
        </w:rPr>
        <w:t xml:space="preserve">Feed register (Threads, social, ads): specific, receipts-forward, one controlled degree of edge. The acquisition hook lives here because it converts — and it earns its edge with documents, not adjectives.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4EBE6" w:val="clear"/>
            <w:tcMar>
              <w:top w:type="dxa" w:w="70"/>
              <w:left w:type="dxa" w:w="110"/>
              <w:bottom w:type="dxa" w:w="70"/>
              <w:right w:type="dxa" w:w="110"/>
            </w:tcMar>
          </w:tcPr>
          <w:p>
            <w:pPr>
              <w:spacing w:after="0"/>
            </w:pPr>
            <w:r>
              <w:rPr>
                <w:b/>
                <w:bCs/>
                <w:color w:val="1B1F1D"/>
                <w:sz w:val="18"/>
                <w:szCs w:val="18"/>
              </w:rPr>
              <w:t xml:space="preserve">Never say</w:t>
            </w:r>
          </w:p>
        </w:tc>
        <w:tc>
          <w:tcPr>
            <w:tcW w:type="dxa" w:w="4680"/>
            <w:shd w:fill="E4EBE6" w:val="clear"/>
            <w:tcMar>
              <w:top w:type="dxa" w:w="70"/>
              <w:left w:type="dxa" w:w="110"/>
              <w:bottom w:type="dxa" w:w="70"/>
              <w:right w:type="dxa" w:w="110"/>
            </w:tcMar>
          </w:tcPr>
          <w:p>
            <w:pPr>
              <w:spacing w:after="0"/>
            </w:pPr>
            <w:r>
              <w:rPr>
                <w:b/>
                <w:bCs/>
                <w:color w:val="1B1F1D"/>
                <w:sz w:val="18"/>
                <w:szCs w:val="18"/>
              </w:rPr>
              <w:t xml:space="preserve">Say instead</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Beat the insurance company / fight your insurer</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Build a stronger claim file</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Get more money / maximize your payout</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Make informed decisions</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We fight for you / we negotiate</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We help you organize your documentation</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We'll get you paid</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Review your documentation before making decisions</w:t>
            </w:r>
          </w:p>
        </w:tc>
      </w:tr>
      <w:tr>
        <w:tc>
          <w:tcPr>
            <w:tcW w:type="dxa" w:w="4680"/>
            <w:tcMar>
              <w:top w:type="dxa" w:w="70"/>
              <w:left w:type="dxa" w:w="110"/>
              <w:bottom w:type="dxa" w:w="70"/>
              <w:right w:type="dxa" w:w="110"/>
            </w:tcMar>
          </w:tcPr>
          <w:p>
            <w:pPr>
              <w:spacing w:after="0"/>
            </w:pPr>
            <w:r>
              <w:rPr>
                <w:b w:val="false"/>
                <w:bCs w:val="false"/>
                <w:color w:val="1B1F1D"/>
                <w:sz w:val="18"/>
                <w:szCs w:val="18"/>
              </w:rPr>
              <w:t xml:space="preserve">Guaranteed / secret / hack</w:t>
            </w:r>
          </w:p>
        </w:tc>
        <w:tc>
          <w:tcPr>
            <w:tcW w:type="dxa" w:w="4680"/>
            <w:tcMar>
              <w:top w:type="dxa" w:w="70"/>
              <w:left w:type="dxa" w:w="110"/>
              <w:bottom w:type="dxa" w:w="70"/>
              <w:right w:type="dxa" w:w="110"/>
            </w:tcMar>
          </w:tcPr>
          <w:p>
            <w:pPr>
              <w:spacing w:after="0"/>
            </w:pPr>
            <w:r>
              <w:rPr>
                <w:b w:val="false"/>
                <w:bCs w:val="false"/>
                <w:color w:val="1B1F1D"/>
                <w:sz w:val="18"/>
                <w:szCs w:val="18"/>
              </w:rPr>
              <w:t xml:space="preserve">(these words do not exist here)</w:t>
            </w:r>
          </w:p>
        </w:tc>
      </w:tr>
    </w:tbl>
    <w:p>
      <w:pPr>
        <w:spacing w:after="120"/>
      </w:pPr>
      <w:r>
        <w:rPr>
          <w:b w:val="false"/>
          <w:bCs w:val="false"/>
          <w:i w:val="false"/>
          <w:iCs w:val="false"/>
          <w:color w:val="1B1F1D"/>
          <w:sz w:val="21"/>
          <w:szCs w:val="21"/>
        </w:rPr>
        <w:t xml:space="preserve"/>
      </w:r>
    </w:p>
    <w:p>
      <w:pPr>
        <w:spacing w:after="120"/>
      </w:pPr>
      <w:r>
        <w:rPr>
          <w:b w:val="false"/>
          <w:bCs w:val="false"/>
          <w:i w:val="false"/>
          <w:iCs w:val="false"/>
          <w:color w:val="1B1F1D"/>
          <w:sz w:val="21"/>
          <w:szCs w:val="21"/>
        </w:rPr>
        <w:t xml:space="preserve">Shared rules: numbers over adjectives; absolute dates in anything touching the record; second person; the standard disclaimer on every advice-adjacent surface; outcomes are never promised in either register.</w:t>
      </w:r>
    </w:p>
    <w:p>
      <w:pPr>
        <w:pStyle w:val="Heading2"/>
        <w:spacing w:after="120" w:before="200"/>
      </w:pPr>
      <w:r>
        <w:t xml:space="preserve">1.5 Core Values</w:t>
      </w:r>
    </w:p>
    <w:p>
      <w:pPr>
        <w:pStyle w:val="ListParagraph"/>
        <w:numPr>
          <w:ilvl w:val="0"/>
          <w:numId w:val="2"/>
        </w:numPr>
        <w:spacing w:after="60"/>
      </w:pPr>
      <w:r>
        <w:rPr>
          <w:b w:val="false"/>
          <w:bCs w:val="false"/>
          <w:color w:val="1B1F1D"/>
          <w:sz w:val="21"/>
          <w:szCs w:val="21"/>
        </w:rPr>
        <w:t xml:space="preserve">Truth — facts, documentation, and evidence matter; ours is contractor-grade, from real job sites.</w:t>
      </w:r>
    </w:p>
    <w:p>
      <w:pPr>
        <w:pStyle w:val="ListParagraph"/>
        <w:numPr>
          <w:ilvl w:val="0"/>
          <w:numId w:val="2"/>
        </w:numPr>
        <w:spacing w:after="60"/>
      </w:pPr>
      <w:r>
        <w:rPr>
          <w:b w:val="false"/>
          <w:bCs w:val="false"/>
          <w:color w:val="1B1F1D"/>
          <w:sz w:val="21"/>
          <w:szCs w:val="21"/>
        </w:rPr>
        <w:t xml:space="preserve">Clarity — insurance is complicated; the software makes it understandable.</w:t>
      </w:r>
    </w:p>
    <w:p>
      <w:pPr>
        <w:pStyle w:val="ListParagraph"/>
        <w:numPr>
          <w:ilvl w:val="0"/>
          <w:numId w:val="2"/>
        </w:numPr>
        <w:spacing w:after="60"/>
      </w:pPr>
      <w:r>
        <w:rPr>
          <w:b w:val="false"/>
          <w:bCs w:val="false"/>
          <w:color w:val="1B1F1D"/>
          <w:sz w:val="21"/>
          <w:szCs w:val="21"/>
        </w:rPr>
        <w:t xml:space="preserve">Independence — users stay in control; every AI-generated document is reviewed by the user; the knowledge library contains only what the owner approved.</w:t>
      </w:r>
    </w:p>
    <w:p>
      <w:pPr>
        <w:pStyle w:val="ListParagraph"/>
        <w:numPr>
          <w:ilvl w:val="0"/>
          <w:numId w:val="2"/>
        </w:numPr>
        <w:spacing w:after="60"/>
      </w:pPr>
      <w:r>
        <w:rPr>
          <w:b w:val="false"/>
          <w:bCs w:val="false"/>
          <w:color w:val="1B1F1D"/>
          <w:sz w:val="21"/>
          <w:szCs w:val="21"/>
        </w:rPr>
        <w:t xml:space="preserve">Trust — never exaggerate, never promise outcomes, always explain.</w:t>
      </w:r>
    </w:p>
    <w:p>
      <w:pPr>
        <w:pStyle w:val="ListParagraph"/>
        <w:numPr>
          <w:ilvl w:val="0"/>
          <w:numId w:val="2"/>
        </w:numPr>
        <w:spacing w:after="60"/>
      </w:pPr>
      <w:r>
        <w:rPr>
          <w:b w:val="false"/>
          <w:bCs w:val="false"/>
          <w:color w:val="1B1F1D"/>
          <w:sz w:val="21"/>
          <w:szCs w:val="21"/>
        </w:rPr>
        <w:t xml:space="preserve">Deadlines are sacred — a missed suit-limitation date ends a claim regardless of the evidence.</w:t>
      </w:r>
    </w:p>
    <w:p>
      <w:pPr>
        <w:pStyle w:val="Heading2"/>
        <w:spacing w:after="120" w:before="200"/>
      </w:pPr>
      <w:r>
        <w:t xml:space="preserve">1.6 Brand Story (with guardrails)</w:t>
      </w:r>
    </w:p>
    <w:p>
      <w:pPr>
        <w:spacing w:after="120"/>
      </w:pPr>
      <w:r>
        <w:rPr>
          <w:b w:val="false"/>
          <w:bCs w:val="false"/>
          <w:i w:val="false"/>
          <w:iCs w:val="false"/>
          <w:color w:val="1B1F1D"/>
          <w:sz w:val="21"/>
          <w:szCs w:val="21"/>
        </w:rPr>
        <w:t xml:space="preserve">The founder's first claim opened with a payment of roughly $40,000 — for covered damage that ultimately cost more than $125,000 to make right. The difference wasn't a lawyer or a public adjuster. It was the file: multiple documented supplements, each built on photographs, invoices, moisture readings, and a written record the carrier's first estimate never had to answer to. Checking the carrier's own math along the way surfaced a 16-year rating error worth another $1,235 in premium. That file became WholeClaim.</w:t>
      </w:r>
    </w:p>
    <w:p>
      <w:pPr>
        <w:pStyle w:val="ListParagraph"/>
        <w:numPr>
          <w:ilvl w:val="0"/>
          <w:numId w:val="2"/>
        </w:numPr>
        <w:spacing w:after="60"/>
      </w:pPr>
      <w:r>
        <w:rPr>
          <w:b w:val="false"/>
          <w:bCs w:val="false"/>
          <w:color w:val="1B1F1D"/>
          <w:sz w:val="21"/>
          <w:szCs w:val="21"/>
        </w:rPr>
        <w:t xml:space="preserve">Guardrail 1: the story names numbers and documents — never carriers or case numbers while matters are active.</w:t>
      </w:r>
    </w:p>
    <w:p>
      <w:pPr>
        <w:pStyle w:val="ListParagraph"/>
        <w:numPr>
          <w:ilvl w:val="0"/>
          <w:numId w:val="2"/>
        </w:numPr>
        <w:spacing w:after="60"/>
      </w:pPr>
      <w:r>
        <w:rPr>
          <w:b w:val="false"/>
          <w:bCs w:val="false"/>
          <w:color w:val="1B1F1D"/>
          <w:sz w:val="21"/>
          <w:szCs w:val="21"/>
        </w:rPr>
        <w:t xml:space="preserve">Guardrail 2: the $40K→$125K+ result is a documented individual outcome; every public use carries “a documented individual result; WholeClaim does not promise outcomes” and the underlying records stay archived and producible.</w:t>
      </w:r>
    </w:p>
    <w:p>
      <w:pPr>
        <w:pStyle w:val="ListParagraph"/>
        <w:numPr>
          <w:ilvl w:val="0"/>
          <w:numId w:val="2"/>
        </w:numPr>
        <w:spacing w:after="60"/>
      </w:pPr>
      <w:r>
        <w:rPr>
          <w:b w:val="false"/>
          <w:bCs w:val="false"/>
          <w:color w:val="1B1F1D"/>
          <w:sz w:val="21"/>
          <w:szCs w:val="21"/>
        </w:rPr>
        <w:t xml:space="preserve">Guardrail 3: the story is told in the past tense of documentation, never the future tense of promises.</w:t>
      </w:r>
    </w:p>
    <w:p>
      <w:pPr>
        <w:pStyle w:val="Heading2"/>
        <w:spacing w:after="120" w:before="200"/>
      </w:pPr>
      <w:r>
        <w:t xml:space="preserve">1.7 Brand Architecture &amp; Product Line</w:t>
      </w:r>
    </w:p>
    <w:p>
      <w:pPr>
        <w:spacing w:after="120"/>
      </w:pPr>
      <w:r>
        <w:rPr>
          <w:b w:val="false"/>
          <w:bCs w:val="false"/>
          <w:i w:val="false"/>
          <w:iCs w:val="false"/>
          <w:color w:val="1B1F1D"/>
          <w:sz w:val="21"/>
          <w:szCs w:val="21"/>
        </w:rPr>
        <w:t xml:space="preserve">Three layers: WholeClaim (the platform people pay for) → the Binder (the hero artifact users build) → Claim Binder Method (the education and digital-product line feeding the funnel).</w:t>
      </w:r>
    </w:p>
    <w:p>
      <w:pPr>
        <w:spacing w:after="120"/>
      </w:pPr>
      <w:r>
        <w:rPr>
          <w:b w:val="false"/>
          <w:bCs w:val="false"/>
          <w:i w:val="false"/>
          <w:iCs w:val="false"/>
          <w:color w:val="1B1F1D"/>
          <w:sz w:val="21"/>
          <w:szCs w:val="21"/>
        </w:rPr>
        <w:t xml:space="preserve">Long-term line: WholeClaim Home · Pro · Business · Landlord · Contractor. A professional Adjuster product only with its own regulatory review first.</w:t>
      </w:r>
    </w:p>
    <w:p>
      <w:pPr>
        <w:pStyle w:val="Heading2"/>
        <w:spacing w:after="120" w:before="200"/>
      </w:pPr>
      <w:r>
        <w:t xml:space="preserve">1.8 Taglines &amp; North Star</w:t>
      </w:r>
    </w:p>
    <w:p>
      <w:pPr>
        <w:pStyle w:val="ListParagraph"/>
        <w:numPr>
          <w:ilvl w:val="0"/>
          <w:numId w:val="2"/>
        </w:numPr>
        <w:spacing w:after="60"/>
      </w:pPr>
      <w:r>
        <w:rPr>
          <w:b w:val="false"/>
          <w:bCs w:val="false"/>
          <w:color w:val="1B1F1D"/>
          <w:sz w:val="21"/>
          <w:szCs w:val="21"/>
        </w:rPr>
        <w:t xml:space="preserve">Product primary: Every document. Every deadline. Every detail.</w:t>
      </w:r>
    </w:p>
    <w:p>
      <w:pPr>
        <w:pStyle w:val="ListParagraph"/>
        <w:numPr>
          <w:ilvl w:val="0"/>
          <w:numId w:val="2"/>
        </w:numPr>
        <w:spacing w:after="60"/>
      </w:pPr>
      <w:r>
        <w:rPr>
          <w:b w:val="false"/>
          <w:bCs w:val="false"/>
          <w:color w:val="1B1F1D"/>
          <w:sz w:val="21"/>
          <w:szCs w:val="21"/>
        </w:rPr>
        <w:t xml:space="preserve">Acquisition hook (feed register): Build the claim file your insurance company wishes you didn't have.</w:t>
      </w:r>
    </w:p>
    <w:p>
      <w:pPr>
        <w:pStyle w:val="ListParagraph"/>
        <w:numPr>
          <w:ilvl w:val="0"/>
          <w:numId w:val="2"/>
        </w:numPr>
        <w:spacing w:after="60"/>
      </w:pPr>
      <w:r>
        <w:rPr>
          <w:b w:val="false"/>
          <w:bCs w:val="false"/>
          <w:color w:val="1B1F1D"/>
          <w:sz w:val="21"/>
          <w:szCs w:val="21"/>
        </w:rPr>
        <w:t xml:space="preserve">North Star: when someone thinks “I need to organize my insurance claim,” they think WholeClaim.</w:t>
      </w:r>
    </w:p>
    <w:p>
      <w:pPr>
        <w:pStyle w:val="Heading2"/>
        <w:spacing w:after="120" w:before="200"/>
      </w:pPr>
      <w:r>
        <w:t xml:space="preserve">1.9 Name Clearance Checklist (BLOCKING)</w:t>
      </w:r>
    </w:p>
    <w:p>
      <w:pPr>
        <w:pStyle w:val="ListParagraph"/>
        <w:numPr>
          <w:ilvl w:val="0"/>
          <w:numId w:val="3"/>
        </w:numPr>
        <w:spacing w:after="60"/>
      </w:pPr>
      <w:r>
        <w:rPr>
          <w:color w:val="1B1F1D"/>
          <w:sz w:val="21"/>
          <w:szCs w:val="21"/>
        </w:rPr>
        <w:t xml:space="preserve">USPTO knockout search — WHOLECLAIM and confusingly similar marks, Classes 9, 42, 36. Flag: WorldClaim, an established public-adjusting firm, is a phonetic neighbor in the same industry; attorney assesses likelihood of confusion.</w:t>
      </w:r>
    </w:p>
    <w:p>
      <w:pPr>
        <w:pStyle w:val="ListParagraph"/>
        <w:numPr>
          <w:ilvl w:val="0"/>
          <w:numId w:val="3"/>
        </w:numPr>
        <w:spacing w:after="60"/>
      </w:pPr>
      <w:r>
        <w:rPr>
          <w:color w:val="1B1F1D"/>
          <w:sz w:val="21"/>
          <w:szCs w:val="21"/>
        </w:rPr>
        <w:t xml:space="preserve">Georgia Secretary of State business-name search.</w:t>
      </w:r>
    </w:p>
    <w:p>
      <w:pPr>
        <w:pStyle w:val="ListParagraph"/>
        <w:numPr>
          <w:ilvl w:val="0"/>
          <w:numId w:val="3"/>
        </w:numPr>
        <w:spacing w:after="60"/>
      </w:pPr>
      <w:r>
        <w:rPr>
          <w:color w:val="1B1F1D"/>
          <w:sz w:val="21"/>
          <w:szCs w:val="21"/>
        </w:rPr>
        <w:t xml:space="preserve">Secure wholeclaim.com and wholeclaim.app immediately if open. The plural wholeclaims.com is held by an unrelated site flagged as suspicious — never use the plural.</w:t>
      </w:r>
    </w:p>
    <w:p>
      <w:pPr>
        <w:pStyle w:val="ListParagraph"/>
        <w:numPr>
          <w:ilvl w:val="0"/>
          <w:numId w:val="3"/>
        </w:numPr>
        <w:spacing w:after="60"/>
      </w:pPr>
      <w:r>
        <w:rPr>
          <w:color w:val="1B1F1D"/>
          <w:sz w:val="21"/>
          <w:szCs w:val="21"/>
        </w:rPr>
        <w:t xml:space="preserve">Secure @wholeclaim on Threads, Instagram, TikTok, X, YouTube.</w:t>
      </w:r>
    </w:p>
    <w:p>
      <w:pPr>
        <w:pStyle w:val="ListParagraph"/>
        <w:numPr>
          <w:ilvl w:val="0"/>
          <w:numId w:val="3"/>
        </w:numPr>
        <w:spacing w:after="60"/>
      </w:pPr>
      <w:r>
        <w:rPr>
          <w:color w:val="1B1F1D"/>
          <w:sz w:val="21"/>
          <w:szCs w:val="21"/>
        </w:rPr>
        <w:t xml:space="preserve">Attorney clearance opinion, then file the trademark.</w:t>
      </w:r>
    </w:p>
    <w:p>
      <w:pPr>
        <w:pStyle w:val="ListParagraph"/>
        <w:numPr>
          <w:ilvl w:val="0"/>
          <w:numId w:val="3"/>
        </w:numPr>
        <w:spacing w:after="60"/>
      </w:pPr>
      <w:r>
        <w:rPr>
          <w:color w:val="1B1F1D"/>
          <w:sz w:val="21"/>
          <w:szCs w:val="21"/>
        </w:rPr>
        <w:t xml:space="preserve">Form the LLC (separate from A&amp;K Construction) after steps 1–5 clear; the entity holds the mark, domains, and subscriptions.</w:t>
      </w:r>
    </w:p>
    <w:p>
      <w:r>
        <w:br w:type="page"/>
      </w:r>
    </w:p>
    <w:p>
      <w:pPr>
        <w:pStyle w:val="Heading1"/>
        <w:spacing w:after="160" w:before="240"/>
      </w:pPr>
      <w:r>
        <w:t xml:space="preserve">Volume II — Product Requirements Document v1.0</w:t>
      </w:r>
    </w:p>
    <w:p>
      <w:pPr>
        <w:spacing w:after="120"/>
      </w:pPr>
      <w:r>
        <w:rPr>
          <w:b w:val="false"/>
          <w:bCs w:val="false"/>
          <w:i/>
          <w:iCs/>
          <w:color w:val="63665F"/>
          <w:sz w:val="21"/>
          <w:szCs w:val="21"/>
        </w:rPr>
        <w:t xml:space="preserve">Scope: the v1.0 production web application (mobile-first installable PWA) defined in Volume IV. This PRD is written to be executed by Claude Code plus founder review; every feature carries acceptance criteria, and the release gate is Test Run 02.</w:t>
      </w:r>
    </w:p>
    <w:p>
      <w:pPr>
        <w:pStyle w:val="Heading2"/>
        <w:spacing w:after="120" w:before="200"/>
      </w:pPr>
      <w:r>
        <w:t xml:space="preserve">2.1 Product Vision and Non-Goals</w:t>
      </w:r>
    </w:p>
    <w:p>
      <w:pPr>
        <w:spacing w:after="120"/>
      </w:pPr>
      <w:r>
        <w:rPr>
          <w:b w:val="false"/>
          <w:bCs w:val="false"/>
          <w:i w:val="false"/>
          <w:iCs w:val="false"/>
          <w:color w:val="1B1F1D"/>
          <w:sz w:val="21"/>
          <w:szCs w:val="21"/>
        </w:rPr>
        <w:t xml:space="preserve">WholeClaim turns a homeowner's scattered claim materials into an organized, deadline-tracked, evidence-backed case file, with AI analysis and drafting the user reviews and controls. Every screen answers at least one of: What happened? What should I do next? What evidence do I have? What am I missing? What deadline is approaching? A screen that answers none of these should not exist.</w:t>
      </w:r>
    </w:p>
    <w:p>
      <w:pPr>
        <w:spacing w:after="120"/>
      </w:pPr>
      <w:r>
        <w:rPr>
          <w:b w:val="false"/>
          <w:bCs w:val="false"/>
          <w:i w:val="false"/>
          <w:iCs w:val="false"/>
          <w:color w:val="1B1F1D"/>
          <w:sz w:val="21"/>
          <w:szCs w:val="21"/>
        </w:rPr>
        <w:t xml:space="preserve">Non-goals (v1.0 and permanent unless separately reviewed): contacting carriers on the user's behalf, negotiating or adjusting claims, predicting claim outcomes, providing legal advice, native app-store builds (Phase 3).</w:t>
      </w:r>
    </w:p>
    <w:p>
      <w:pPr>
        <w:pStyle w:val="Heading2"/>
        <w:spacing w:after="120" w:before="200"/>
      </w:pPr>
      <w:r>
        <w:t xml:space="preserve">2.2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tblHeader/>
        </w:trPr>
        <w:tc>
          <w:tcPr>
            <w:tcW w:type="dxa" w:w="1900"/>
            <w:shd w:fill="E4EBE6" w:val="clear"/>
            <w:tcMar>
              <w:top w:type="dxa" w:w="70"/>
              <w:left w:type="dxa" w:w="110"/>
              <w:bottom w:type="dxa" w:w="70"/>
              <w:right w:type="dxa" w:w="110"/>
            </w:tcMar>
          </w:tcPr>
          <w:p>
            <w:pPr>
              <w:spacing w:after="0"/>
            </w:pPr>
            <w:r>
              <w:rPr>
                <w:b/>
                <w:bCs/>
                <w:color w:val="1B1F1D"/>
                <w:sz w:val="18"/>
                <w:szCs w:val="18"/>
              </w:rPr>
              <w:t xml:space="preserve">Persona</w:t>
            </w:r>
          </w:p>
        </w:tc>
        <w:tc>
          <w:tcPr>
            <w:tcW w:type="dxa" w:w="2500"/>
            <w:shd w:fill="E4EBE6" w:val="clear"/>
            <w:tcMar>
              <w:top w:type="dxa" w:w="70"/>
              <w:left w:type="dxa" w:w="110"/>
              <w:bottom w:type="dxa" w:w="70"/>
              <w:right w:type="dxa" w:w="110"/>
            </w:tcMar>
          </w:tcPr>
          <w:p>
            <w:pPr>
              <w:spacing w:after="0"/>
            </w:pPr>
            <w:r>
              <w:rPr>
                <w:b/>
                <w:bCs/>
                <w:color w:val="1B1F1D"/>
                <w:sz w:val="18"/>
                <w:szCs w:val="18"/>
              </w:rPr>
              <w:t xml:space="preserve">Context</w:t>
            </w:r>
          </w:p>
        </w:tc>
        <w:tc>
          <w:tcPr>
            <w:tcW w:type="dxa" w:w="2500"/>
            <w:shd w:fill="E4EBE6" w:val="clear"/>
            <w:tcMar>
              <w:top w:type="dxa" w:w="70"/>
              <w:left w:type="dxa" w:w="110"/>
              <w:bottom w:type="dxa" w:w="70"/>
              <w:right w:type="dxa" w:w="110"/>
            </w:tcMar>
          </w:tcPr>
          <w:p>
            <w:pPr>
              <w:spacing w:after="0"/>
            </w:pPr>
            <w:r>
              <w:rPr>
                <w:b/>
                <w:bCs/>
                <w:color w:val="1B1F1D"/>
                <w:sz w:val="18"/>
                <w:szCs w:val="18"/>
              </w:rPr>
              <w:t xml:space="preserve">Primary goals</w:t>
            </w:r>
          </w:p>
        </w:tc>
        <w:tc>
          <w:tcPr>
            <w:tcW w:type="dxa" w:w="2460"/>
            <w:shd w:fill="E4EBE6" w:val="clear"/>
            <w:tcMar>
              <w:top w:type="dxa" w:w="70"/>
              <w:left w:type="dxa" w:w="110"/>
              <w:bottom w:type="dxa" w:w="70"/>
              <w:right w:type="dxa" w:w="110"/>
            </w:tcMar>
          </w:tcPr>
          <w:p>
            <w:pPr>
              <w:spacing w:after="0"/>
            </w:pPr>
            <w:r>
              <w:rPr>
                <w:b/>
                <w:bCs/>
                <w:color w:val="1B1F1D"/>
                <w:sz w:val="18"/>
                <w:szCs w:val="18"/>
              </w:rPr>
              <w:t xml:space="preserve">Pains</w:t>
            </w:r>
          </w:p>
        </w:tc>
      </w:tr>
      <w:tr>
        <w:tc>
          <w:tcPr>
            <w:tcW w:type="dxa" w:w="1900"/>
            <w:tcMar>
              <w:top w:type="dxa" w:w="70"/>
              <w:left w:type="dxa" w:w="110"/>
              <w:bottom w:type="dxa" w:w="70"/>
              <w:right w:type="dxa" w:w="110"/>
            </w:tcMar>
          </w:tcPr>
          <w:p>
            <w:pPr>
              <w:spacing w:after="0"/>
            </w:pPr>
            <w:r>
              <w:rPr>
                <w:b w:val="false"/>
                <w:bCs w:val="false"/>
                <w:color w:val="1B1F1D"/>
                <w:sz w:val="18"/>
                <w:szCs w:val="18"/>
              </w:rPr>
              <w:t xml:space="preserve">P1 — First-Time Filer</w:t>
            </w:r>
          </w:p>
        </w:tc>
        <w:tc>
          <w:tcPr>
            <w:tcW w:type="dxa" w:w="2500"/>
            <w:tcMar>
              <w:top w:type="dxa" w:w="70"/>
              <w:left w:type="dxa" w:w="110"/>
              <w:bottom w:type="dxa" w:w="70"/>
              <w:right w:type="dxa" w:w="110"/>
            </w:tcMar>
          </w:tcPr>
          <w:p>
            <w:pPr>
              <w:spacing w:after="0"/>
            </w:pPr>
            <w:r>
              <w:rPr>
                <w:b w:val="false"/>
                <w:bCs w:val="false"/>
                <w:color w:val="1B1F1D"/>
                <w:sz w:val="18"/>
                <w:szCs w:val="18"/>
              </w:rPr>
              <w:t xml:space="preserve">Homeowner, first significant loss (water/roof), claim open weeks</w:t>
            </w:r>
          </w:p>
        </w:tc>
        <w:tc>
          <w:tcPr>
            <w:tcW w:type="dxa" w:w="2500"/>
            <w:tcMar>
              <w:top w:type="dxa" w:w="70"/>
              <w:left w:type="dxa" w:w="110"/>
              <w:bottom w:type="dxa" w:w="70"/>
              <w:right w:type="dxa" w:w="110"/>
            </w:tcMar>
          </w:tcPr>
          <w:p>
            <w:pPr>
              <w:spacing w:after="0"/>
            </w:pPr>
            <w:r>
              <w:rPr>
                <w:b w:val="false"/>
                <w:bCs w:val="false"/>
                <w:color w:val="1B1F1D"/>
                <w:sz w:val="18"/>
                <w:szCs w:val="18"/>
              </w:rPr>
              <w:t xml:space="preserve">Do this right; not get taken advantage of; know what to collect</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Doesn't know what matters; scattered photos; deadline-blind</w:t>
            </w:r>
          </w:p>
        </w:tc>
      </w:tr>
      <w:tr>
        <w:tc>
          <w:tcPr>
            <w:tcW w:type="dxa" w:w="1900"/>
            <w:tcMar>
              <w:top w:type="dxa" w:w="70"/>
              <w:left w:type="dxa" w:w="110"/>
              <w:bottom w:type="dxa" w:w="70"/>
              <w:right w:type="dxa" w:w="110"/>
            </w:tcMar>
          </w:tcPr>
          <w:p>
            <w:pPr>
              <w:spacing w:after="0"/>
            </w:pPr>
            <w:r>
              <w:rPr>
                <w:b w:val="false"/>
                <w:bCs w:val="false"/>
                <w:color w:val="1B1F1D"/>
                <w:sz w:val="18"/>
                <w:szCs w:val="18"/>
              </w:rPr>
              <w:t xml:space="preserve">P2 — Disputed-Claim Owner</w:t>
            </w:r>
          </w:p>
        </w:tc>
        <w:tc>
          <w:tcPr>
            <w:tcW w:type="dxa" w:w="2500"/>
            <w:tcMar>
              <w:top w:type="dxa" w:w="70"/>
              <w:left w:type="dxa" w:w="110"/>
              <w:bottom w:type="dxa" w:w="70"/>
              <w:right w:type="dxa" w:w="110"/>
            </w:tcMar>
          </w:tcPr>
          <w:p>
            <w:pPr>
              <w:spacing w:after="0"/>
            </w:pPr>
            <w:r>
              <w:rPr>
                <w:b w:val="false"/>
                <w:bCs w:val="false"/>
                <w:color w:val="1B1F1D"/>
                <w:sz w:val="18"/>
                <w:szCs w:val="18"/>
              </w:rPr>
              <w:t xml:space="preserve">Lowball offer, denial, or non-renewal notice in hand</w:t>
            </w:r>
          </w:p>
        </w:tc>
        <w:tc>
          <w:tcPr>
            <w:tcW w:type="dxa" w:w="2500"/>
            <w:tcMar>
              <w:top w:type="dxa" w:w="70"/>
              <w:left w:type="dxa" w:w="110"/>
              <w:bottom w:type="dxa" w:w="70"/>
              <w:right w:type="dxa" w:w="110"/>
            </w:tcMar>
          </w:tcPr>
          <w:p>
            <w:pPr>
              <w:spacing w:after="0"/>
            </w:pPr>
            <w:r>
              <w:rPr>
                <w:b w:val="false"/>
                <w:bCs w:val="false"/>
                <w:color w:val="1B1F1D"/>
                <w:sz w:val="18"/>
                <w:szCs w:val="18"/>
              </w:rPr>
              <w:t xml:space="preserve">Understand the paperwork; respond in writing; decide sign vs. fight</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Carrier documents are opaque; fear of saying the wrong thing; time pressure</w:t>
            </w:r>
          </w:p>
        </w:tc>
      </w:tr>
      <w:tr>
        <w:tc>
          <w:tcPr>
            <w:tcW w:type="dxa" w:w="1900"/>
            <w:tcMar>
              <w:top w:type="dxa" w:w="70"/>
              <w:left w:type="dxa" w:w="110"/>
              <w:bottom w:type="dxa" w:w="70"/>
              <w:right w:type="dxa" w:w="110"/>
            </w:tcMar>
          </w:tcPr>
          <w:p>
            <w:pPr>
              <w:spacing w:after="0"/>
            </w:pPr>
            <w:r>
              <w:rPr>
                <w:b w:val="false"/>
                <w:bCs w:val="false"/>
                <w:color w:val="1B1F1D"/>
                <w:sz w:val="18"/>
                <w:szCs w:val="18"/>
              </w:rPr>
              <w:t xml:space="preserve">P3 — Portfolio Owner</w:t>
            </w:r>
          </w:p>
        </w:tc>
        <w:tc>
          <w:tcPr>
            <w:tcW w:type="dxa" w:w="2500"/>
            <w:tcMar>
              <w:top w:type="dxa" w:w="70"/>
              <w:left w:type="dxa" w:w="110"/>
              <w:bottom w:type="dxa" w:w="70"/>
              <w:right w:type="dxa" w:w="110"/>
            </w:tcMar>
          </w:tcPr>
          <w:p>
            <w:pPr>
              <w:spacing w:after="0"/>
            </w:pPr>
            <w:r>
              <w:rPr>
                <w:b w:val="false"/>
                <w:bCs w:val="false"/>
                <w:color w:val="1B1F1D"/>
                <w:sz w:val="18"/>
                <w:szCs w:val="18"/>
              </w:rPr>
              <w:t xml:space="preserve">Landlord / small investor, multiple properties</w:t>
            </w:r>
          </w:p>
        </w:tc>
        <w:tc>
          <w:tcPr>
            <w:tcW w:type="dxa" w:w="2500"/>
            <w:tcMar>
              <w:top w:type="dxa" w:w="70"/>
              <w:left w:type="dxa" w:w="110"/>
              <w:bottom w:type="dxa" w:w="70"/>
              <w:right w:type="dxa" w:w="110"/>
            </w:tcMar>
          </w:tcPr>
          <w:p>
            <w:pPr>
              <w:spacing w:after="0"/>
            </w:pPr>
            <w:r>
              <w:rPr>
                <w:b w:val="false"/>
                <w:bCs w:val="false"/>
                <w:color w:val="1B1F1D"/>
                <w:sz w:val="18"/>
                <w:szCs w:val="18"/>
              </w:rPr>
              <w:t xml:space="preserve">One system across claims; delegate documentation discipline</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Repeats the shoebox problem per property; needs multi-claim view</w:t>
            </w:r>
          </w:p>
        </w:tc>
      </w:tr>
    </w:tbl>
    <w:p>
      <w:pPr>
        <w:spacing w:after="120"/>
      </w:pPr>
      <w:r>
        <w:rPr>
          <w:b w:val="false"/>
          <w:bCs w:val="false"/>
          <w:i w:val="false"/>
          <w:iCs w:val="false"/>
          <w:color w:val="1B1F1D"/>
          <w:sz w:val="21"/>
          <w:szCs w:val="21"/>
        </w:rPr>
        <w:t xml:space="preserve"/>
      </w:r>
    </w:p>
    <w:p>
      <w:pPr>
        <w:pStyle w:val="Heading2"/>
        <w:spacing w:after="120" w:before="200"/>
      </w:pPr>
      <w:r>
        <w:t xml:space="preserve">2.3 User Stories (selected, grouped)</w:t>
      </w:r>
    </w:p>
    <w:p>
      <w:pPr>
        <w:pStyle w:val="ListParagraph"/>
        <w:numPr>
          <w:ilvl w:val="0"/>
          <w:numId w:val="2"/>
        </w:numPr>
        <w:spacing w:after="60"/>
      </w:pPr>
      <w:r>
        <w:rPr>
          <w:b w:val="false"/>
          <w:bCs w:val="false"/>
          <w:color w:val="1B1F1D"/>
          <w:sz w:val="21"/>
          <w:szCs w:val="21"/>
        </w:rPr>
        <w:t xml:space="preserve">As a new user, I can create a claim file in under 3 minutes so the system starts working before my motivation fades.</w:t>
      </w:r>
    </w:p>
    <w:p>
      <w:pPr>
        <w:pStyle w:val="ListParagraph"/>
        <w:numPr>
          <w:ilvl w:val="0"/>
          <w:numId w:val="2"/>
        </w:numPr>
        <w:spacing w:after="60"/>
      </w:pPr>
      <w:r>
        <w:rPr>
          <w:b w:val="false"/>
          <w:bCs w:val="false"/>
          <w:color w:val="1B1F1D"/>
          <w:sz w:val="21"/>
          <w:szCs w:val="21"/>
        </w:rPr>
        <w:t xml:space="preserve">As a claimant, I can log a call/email/visit in under 30 seconds so the chronology stays current.</w:t>
      </w:r>
    </w:p>
    <w:p>
      <w:pPr>
        <w:pStyle w:val="ListParagraph"/>
        <w:numPr>
          <w:ilvl w:val="0"/>
          <w:numId w:val="2"/>
        </w:numPr>
        <w:spacing w:after="60"/>
      </w:pPr>
      <w:r>
        <w:rPr>
          <w:b w:val="false"/>
          <w:bCs w:val="false"/>
          <w:color w:val="1B1F1D"/>
          <w:sz w:val="21"/>
          <w:szCs w:val="21"/>
        </w:rPr>
        <w:t xml:space="preserve">As a claimant, I can upload photos and PDFs to the Evidence Vault so nothing lives only in my camera roll.</w:t>
      </w:r>
    </w:p>
    <w:p>
      <w:pPr>
        <w:pStyle w:val="ListParagraph"/>
        <w:numPr>
          <w:ilvl w:val="0"/>
          <w:numId w:val="2"/>
        </w:numPr>
        <w:spacing w:after="60"/>
      </w:pPr>
      <w:r>
        <w:rPr>
          <w:b w:val="false"/>
          <w:bCs w:val="false"/>
          <w:color w:val="1B1F1D"/>
          <w:sz w:val="21"/>
          <w:szCs w:val="21"/>
        </w:rPr>
        <w:t xml:space="preserve">As a claimant, I see a Claim Health Score and one Next Recommended Action so I always know what to do next.</w:t>
      </w:r>
    </w:p>
    <w:p>
      <w:pPr>
        <w:pStyle w:val="ListParagraph"/>
        <w:numPr>
          <w:ilvl w:val="0"/>
          <w:numId w:val="2"/>
        </w:numPr>
        <w:spacing w:after="60"/>
      </w:pPr>
      <w:r>
        <w:rPr>
          <w:b w:val="false"/>
          <w:bCs w:val="false"/>
          <w:color w:val="1B1F1D"/>
          <w:sz w:val="21"/>
          <w:szCs w:val="21"/>
        </w:rPr>
        <w:t xml:space="preserve">As a claimant, I can paste policy language and get a plain-English decode with deadlines and questions to put in writing.</w:t>
      </w:r>
    </w:p>
    <w:p>
      <w:pPr>
        <w:pStyle w:val="ListParagraph"/>
        <w:numPr>
          <w:ilvl w:val="0"/>
          <w:numId w:val="2"/>
        </w:numPr>
        <w:spacing w:after="60"/>
      </w:pPr>
      <w:r>
        <w:rPr>
          <w:b w:val="false"/>
          <w:bCs w:val="false"/>
          <w:color w:val="1B1F1D"/>
          <w:sz w:val="21"/>
          <w:szCs w:val="21"/>
        </w:rPr>
        <w:t xml:space="preserve">As a claimant, I can compare the carrier's estimate against my described damage and get likely gaps and documentation steps.</w:t>
      </w:r>
    </w:p>
    <w:p>
      <w:pPr>
        <w:pStyle w:val="ListParagraph"/>
        <w:numPr>
          <w:ilvl w:val="0"/>
          <w:numId w:val="2"/>
        </w:numPr>
        <w:spacing w:after="60"/>
      </w:pPr>
      <w:r>
        <w:rPr>
          <w:b w:val="false"/>
          <w:bCs w:val="false"/>
          <w:color w:val="1B1F1D"/>
          <w:sz w:val="21"/>
          <w:szCs w:val="21"/>
        </w:rPr>
        <w:t xml:space="preserve">As a policyholder facing non-renewal, I can audit how my losses were counted and get the records list to request.</w:t>
      </w:r>
    </w:p>
    <w:p>
      <w:pPr>
        <w:pStyle w:val="ListParagraph"/>
        <w:numPr>
          <w:ilvl w:val="0"/>
          <w:numId w:val="2"/>
        </w:numPr>
        <w:spacing w:after="60"/>
      </w:pPr>
      <w:r>
        <w:rPr>
          <w:b w:val="false"/>
          <w:bCs w:val="false"/>
          <w:color w:val="1B1F1D"/>
          <w:sz w:val="21"/>
          <w:szCs w:val="21"/>
        </w:rPr>
        <w:t xml:space="preserve">As a claimant, I can generate a professional letter draft from my file, review every line, and copy it out.</w:t>
      </w:r>
    </w:p>
    <w:p>
      <w:pPr>
        <w:pStyle w:val="ListParagraph"/>
        <w:numPr>
          <w:ilvl w:val="0"/>
          <w:numId w:val="2"/>
        </w:numPr>
        <w:spacing w:after="60"/>
      </w:pPr>
      <w:r>
        <w:rPr>
          <w:b w:val="false"/>
          <w:bCs w:val="false"/>
          <w:color w:val="1B1F1D"/>
          <w:sz w:val="21"/>
          <w:szCs w:val="21"/>
        </w:rPr>
        <w:t xml:space="preserve">As an owner, I can add or approve knowledge-library entries so every analysis runs on facts I verified.</w:t>
      </w:r>
    </w:p>
    <w:p>
      <w:pPr>
        <w:pStyle w:val="ListParagraph"/>
        <w:numPr>
          <w:ilvl w:val="0"/>
          <w:numId w:val="2"/>
        </w:numPr>
        <w:spacing w:after="60"/>
      </w:pPr>
      <w:r>
        <w:rPr>
          <w:b w:val="false"/>
          <w:bCs w:val="false"/>
          <w:color w:val="1B1F1D"/>
          <w:sz w:val="21"/>
          <w:szCs w:val="21"/>
        </w:rPr>
        <w:t xml:space="preserve">As a user, I can export my entire file (JSON + documents) and delete my account, because the data is mine.</w:t>
      </w:r>
    </w:p>
    <w:p>
      <w:pPr>
        <w:pStyle w:val="ListParagraph"/>
        <w:numPr>
          <w:ilvl w:val="0"/>
          <w:numId w:val="2"/>
        </w:numPr>
        <w:spacing w:after="60"/>
      </w:pPr>
      <w:r>
        <w:rPr>
          <w:b w:val="false"/>
          <w:bCs w:val="false"/>
          <w:color w:val="1B1F1D"/>
          <w:sz w:val="21"/>
          <w:szCs w:val="21"/>
        </w:rPr>
        <w:t xml:space="preserve">As a visitor, I can take the free Claim Grade and receive my results by email.</w:t>
      </w:r>
    </w:p>
    <w:p>
      <w:pPr>
        <w:pStyle w:val="ListParagraph"/>
        <w:numPr>
          <w:ilvl w:val="0"/>
          <w:numId w:val="2"/>
        </w:numPr>
        <w:spacing w:after="60"/>
      </w:pPr>
      <w:r>
        <w:rPr>
          <w:b w:val="false"/>
          <w:bCs w:val="false"/>
          <w:color w:val="1B1F1D"/>
          <w:sz w:val="21"/>
          <w:szCs w:val="21"/>
        </w:rPr>
        <w:t xml:space="preserve">As a paying user, I get unlimited analyses within fair use, and my plan is manageable through a billing portal.</w:t>
      </w:r>
    </w:p>
    <w:p>
      <w:pPr>
        <w:pStyle w:val="Heading2"/>
        <w:spacing w:after="120" w:before="200"/>
      </w:pPr>
      <w:r>
        <w:t xml:space="preserve">2.4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4EBE6" w:val="clear"/>
            <w:tcMar>
              <w:top w:type="dxa" w:w="70"/>
              <w:left w:type="dxa" w:w="110"/>
              <w:bottom w:type="dxa" w:w="70"/>
              <w:right w:type="dxa" w:w="110"/>
            </w:tcMar>
          </w:tcPr>
          <w:p>
            <w:pPr>
              <w:spacing w:after="0"/>
            </w:pPr>
            <w:r>
              <w:rPr>
                <w:b/>
                <w:bCs/>
                <w:color w:val="1B1F1D"/>
                <w:sz w:val="18"/>
                <w:szCs w:val="18"/>
              </w:rPr>
              <w:t xml:space="preserve">Route / Tab</w:t>
            </w:r>
          </w:p>
        </w:tc>
        <w:tc>
          <w:tcPr>
            <w:tcW w:type="dxa" w:w="6160"/>
            <w:shd w:fill="E4EBE6" w:val="clear"/>
            <w:tcMar>
              <w:top w:type="dxa" w:w="70"/>
              <w:left w:type="dxa" w:w="110"/>
              <w:bottom w:type="dxa" w:w="70"/>
              <w:right w:type="dxa" w:w="110"/>
            </w:tcMar>
          </w:tcPr>
          <w:p>
            <w:pPr>
              <w:spacing w:after="0"/>
            </w:pPr>
            <w:r>
              <w:rPr>
                <w:b/>
                <w:bCs/>
                <w:color w:val="1B1F1D"/>
                <w:sz w:val="18"/>
                <w:szCs w:val="18"/>
              </w:rPr>
              <w:t xml:space="preserve">Contents</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Public: / (marketing), /grade (grader), /legal/*</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Landing, pricing, grader flow, Privacy / Terms / AI Disclaimer</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A — Dashboard</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Claim Health Score, Next Recommended Action, Evidence Checklist, Deadlines, Timeline</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B — Binder Log</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Chronology entries (typed, iconized, timestamped)</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C — Analyze</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Policy Decoder · Estimate Gap Analyzer · Loss-Count Auditor</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D — Letters</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Supplement · Status/Delay · DOI Complaint · Non-Renewal drafts</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E — Decide</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Sign-or-fight framework</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F — Library</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Owner-approved knowledge entries + AI intake with approval gate</w:t>
            </w:r>
          </w:p>
        </w:tc>
      </w:tr>
      <w:tr>
        <w:tc>
          <w:tcPr>
            <w:tcW w:type="dxa" w:w="3200"/>
            <w:tcMar>
              <w:top w:type="dxa" w:w="70"/>
              <w:left w:type="dxa" w:w="110"/>
              <w:bottom w:type="dxa" w:w="70"/>
              <w:right w:type="dxa" w:w="110"/>
            </w:tcMar>
          </w:tcPr>
          <w:p>
            <w:pPr>
              <w:spacing w:after="0"/>
            </w:pPr>
            <w:r>
              <w:rPr>
                <w:b w:val="false"/>
                <w:bCs w:val="false"/>
                <w:color w:val="1B1F1D"/>
                <w:sz w:val="18"/>
                <w:szCs w:val="18"/>
              </w:rPr>
              <w:t xml:space="preserve">G — Claim File / Settings</w:t>
            </w:r>
          </w:p>
        </w:tc>
        <w:tc>
          <w:tcPr>
            <w:tcW w:type="dxa" w:w="6160"/>
            <w:tcMar>
              <w:top w:type="dxa" w:w="70"/>
              <w:left w:type="dxa" w:w="110"/>
              <w:bottom w:type="dxa" w:w="70"/>
              <w:right w:type="dxa" w:w="110"/>
            </w:tcMar>
          </w:tcPr>
          <w:p>
            <w:pPr>
              <w:spacing w:after="0"/>
            </w:pPr>
            <w:r>
              <w:rPr>
                <w:b w:val="false"/>
                <w:bCs w:val="false"/>
                <w:color w:val="1B1F1D"/>
                <w:sz w:val="18"/>
                <w:szCs w:val="18"/>
              </w:rPr>
              <w:t xml:space="preserve">Claim fields, account, billing, export, deletion</w:t>
            </w:r>
          </w:p>
        </w:tc>
      </w:tr>
    </w:tbl>
    <w:p>
      <w:pPr>
        <w:spacing w:after="120"/>
      </w:pPr>
      <w:r>
        <w:rPr>
          <w:b w:val="false"/>
          <w:bCs w:val="false"/>
          <w:i w:val="false"/>
          <w:iCs w:val="false"/>
          <w:color w:val="1B1F1D"/>
          <w:sz w:val="21"/>
          <w:szCs w:val="21"/>
        </w:rPr>
        <w:t xml:space="preserve"/>
      </w:r>
    </w:p>
    <w:p>
      <w:pPr>
        <w:pStyle w:val="Heading2"/>
        <w:spacing w:after="120" w:before="200"/>
      </w:pPr>
      <w:r>
        <w:t xml:space="preserve">2.5 Feature Specifications and Acceptance Criteria</w:t>
      </w:r>
    </w:p>
    <w:p>
      <w:pPr>
        <w:pStyle w:val="Heading3"/>
        <w:spacing w:after="100" w:before="160"/>
      </w:pPr>
      <w:r>
        <w:t xml:space="preserve">F1 — Onboarding &amp; Claim File</w:t>
      </w:r>
    </w:p>
    <w:p>
      <w:pPr>
        <w:spacing w:after="120"/>
      </w:pPr>
      <w:r>
        <w:rPr>
          <w:b w:val="false"/>
          <w:bCs w:val="false"/>
          <w:i w:val="false"/>
          <w:iCs w:val="false"/>
          <w:color w:val="1B1F1D"/>
          <w:sz w:val="21"/>
          <w:szCs w:val="21"/>
        </w:rPr>
        <w:t xml:space="preserve">Fields: carrier, claim #, policy #, date of loss, damage category (water/roof/fire/other), damage description, state, offered/paid to date. Multi-claim per account; first-run flows directly into claim creation.</w:t>
      </w:r>
    </w:p>
    <w:p>
      <w:pPr>
        <w:pStyle w:val="ListParagraph"/>
        <w:numPr>
          <w:ilvl w:val="0"/>
          <w:numId w:val="2"/>
        </w:numPr>
        <w:spacing w:after="60"/>
      </w:pPr>
      <w:r>
        <w:rPr>
          <w:b w:val="false"/>
          <w:bCs w:val="false"/>
          <w:color w:val="1B1F1D"/>
          <w:sz w:val="21"/>
          <w:szCs w:val="21"/>
        </w:rPr>
        <w:t xml:space="preserve">AC1: a new user reaches a saved claim file in ≤3 minutes and ≤8 inputs.</w:t>
      </w:r>
    </w:p>
    <w:p>
      <w:pPr>
        <w:pStyle w:val="ListParagraph"/>
        <w:numPr>
          <w:ilvl w:val="0"/>
          <w:numId w:val="2"/>
        </w:numPr>
        <w:spacing w:after="60"/>
      </w:pPr>
      <w:r>
        <w:rPr>
          <w:b w:val="false"/>
          <w:bCs w:val="false"/>
          <w:color w:val="1B1F1D"/>
          <w:sz w:val="21"/>
          <w:szCs w:val="21"/>
        </w:rPr>
        <w:t xml:space="preserve">AC2: damage category drives the Evidence Checklist template.</w:t>
      </w:r>
    </w:p>
    <w:p>
      <w:pPr>
        <w:pStyle w:val="ListParagraph"/>
        <w:numPr>
          <w:ilvl w:val="0"/>
          <w:numId w:val="2"/>
        </w:numPr>
        <w:spacing w:after="60"/>
      </w:pPr>
      <w:r>
        <w:rPr>
          <w:b w:val="false"/>
          <w:bCs w:val="false"/>
          <w:color w:val="1B1F1D"/>
          <w:sz w:val="21"/>
          <w:szCs w:val="21"/>
        </w:rPr>
        <w:t xml:space="preserve">AC3: all record identifiers render in mono per the design system.</w:t>
      </w:r>
    </w:p>
    <w:p>
      <w:pPr>
        <w:pStyle w:val="Heading3"/>
        <w:spacing w:after="100" w:before="160"/>
      </w:pPr>
      <w:r>
        <w:t xml:space="preserve">F2 — Dashboard: Score, Next Action, Checklist</w:t>
      </w:r>
    </w:p>
    <w:p>
      <w:pPr>
        <w:spacing w:after="120"/>
      </w:pPr>
      <w:r>
        <w:rPr>
          <w:b w:val="false"/>
          <w:bCs w:val="false"/>
          <w:i w:val="false"/>
          <w:iCs w:val="false"/>
          <w:color w:val="1B1F1D"/>
          <w:sz w:val="21"/>
          <w:szCs w:val="21"/>
        </w:rPr>
        <w:t xml:space="preserve">Claim Health Score (0–100), deterministic and explainable: Evidence 40 pts = checklist completion × 40; Paper Trail 20 pts = min(entries,10) × 2; Deadlines 20 pts = min(count,2) × 10; Freshness 20 pts = last entry ≤14 days: 20, ≤30 days: 10, else 0. Bands: ≥80 green, 60–79 amber, &lt;60 red.</w:t>
      </w:r>
    </w:p>
    <w:p>
      <w:pPr>
        <w:spacing w:after="120"/>
      </w:pPr>
      <w:r>
        <w:rPr>
          <w:b w:val="false"/>
          <w:bCs w:val="false"/>
          <w:i w:val="false"/>
          <w:iCs w:val="false"/>
          <w:color w:val="1B1F1D"/>
          <w:sz w:val="21"/>
          <w:szCs w:val="21"/>
        </w:rPr>
        <w:t xml:space="preserve">Next Recommended Action rule order: (1) no deadlines → add suit-limitation; (2) missing evidence → first unchecked item; (3) stale log → log latest contact; (4) empty library → approve entries; (5) all current → run Gap Analyzer on latest estimate.</w:t>
      </w:r>
    </w:p>
    <w:p>
      <w:pPr>
        <w:pStyle w:val="ListParagraph"/>
        <w:numPr>
          <w:ilvl w:val="0"/>
          <w:numId w:val="2"/>
        </w:numPr>
        <w:spacing w:after="60"/>
      </w:pPr>
      <w:r>
        <w:rPr>
          <w:b w:val="false"/>
          <w:bCs w:val="false"/>
          <w:color w:val="1B1F1D"/>
          <w:sz w:val="21"/>
          <w:szCs w:val="21"/>
        </w:rPr>
        <w:t xml:space="preserve">AC1: identical inputs always produce identical scores (unit-tested).</w:t>
      </w:r>
    </w:p>
    <w:p>
      <w:pPr>
        <w:pStyle w:val="ListParagraph"/>
        <w:numPr>
          <w:ilvl w:val="0"/>
          <w:numId w:val="2"/>
        </w:numPr>
        <w:spacing w:after="60"/>
      </w:pPr>
      <w:r>
        <w:rPr>
          <w:b w:val="false"/>
          <w:bCs w:val="false"/>
          <w:color w:val="1B1F1D"/>
          <w:sz w:val="21"/>
          <w:szCs w:val="21"/>
        </w:rPr>
        <w:t xml:space="preserve">AC2: every score component is visible with its points and maximum — no black box.</w:t>
      </w:r>
    </w:p>
    <w:p>
      <w:pPr>
        <w:pStyle w:val="ListParagraph"/>
        <w:numPr>
          <w:ilvl w:val="0"/>
          <w:numId w:val="2"/>
        </w:numPr>
        <w:spacing w:after="60"/>
      </w:pPr>
      <w:r>
        <w:rPr>
          <w:b w:val="false"/>
          <w:bCs w:val="false"/>
          <w:color w:val="1B1F1D"/>
          <w:sz w:val="21"/>
          <w:szCs w:val="21"/>
        </w:rPr>
        <w:t xml:space="preserve">AC3: the naming rule in §2.10 is applied product-wide.</w:t>
      </w:r>
    </w:p>
    <w:p>
      <w:pPr>
        <w:pStyle w:val="Heading3"/>
        <w:spacing w:after="100" w:before="160"/>
      </w:pPr>
      <w:r>
        <w:t xml:space="preserve">F3 — Binder Log</w:t>
      </w:r>
    </w:p>
    <w:p>
      <w:pPr>
        <w:spacing w:after="120"/>
      </w:pPr>
      <w:r>
        <w:rPr>
          <w:b w:val="false"/>
          <w:bCs w:val="false"/>
          <w:i w:val="false"/>
          <w:iCs w:val="false"/>
          <w:color w:val="1B1F1D"/>
          <w:sz w:val="21"/>
          <w:szCs w:val="21"/>
        </w:rPr>
        <w:t xml:space="preserve">Entry: date, type (call/email/adjuster visit/photos/letter/payment/other), contact, summary; iconized cards; delete with confirm.</w:t>
      </w:r>
    </w:p>
    <w:p>
      <w:pPr>
        <w:pStyle w:val="ListParagraph"/>
        <w:numPr>
          <w:ilvl w:val="0"/>
          <w:numId w:val="2"/>
        </w:numPr>
        <w:spacing w:after="60"/>
      </w:pPr>
      <w:r>
        <w:rPr>
          <w:b w:val="false"/>
          <w:bCs w:val="false"/>
          <w:color w:val="1B1F1D"/>
          <w:sz w:val="21"/>
          <w:szCs w:val="21"/>
        </w:rPr>
        <w:t xml:space="preserve">AC1: add-entry round trip ≤30 seconds on mobile.</w:t>
      </w:r>
    </w:p>
    <w:p>
      <w:pPr>
        <w:pStyle w:val="ListParagraph"/>
        <w:numPr>
          <w:ilvl w:val="0"/>
          <w:numId w:val="2"/>
        </w:numPr>
        <w:spacing w:after="60"/>
      </w:pPr>
      <w:r>
        <w:rPr>
          <w:b w:val="false"/>
          <w:bCs w:val="false"/>
          <w:color w:val="1B1F1D"/>
          <w:sz w:val="21"/>
          <w:szCs w:val="21"/>
        </w:rPr>
        <w:t xml:space="preserve">AC2: entries are claim-scoped and RLS-protected.</w:t>
      </w:r>
    </w:p>
    <w:p>
      <w:pPr>
        <w:pStyle w:val="Heading3"/>
        <w:spacing w:after="100" w:before="160"/>
      </w:pPr>
      <w:r>
        <w:t xml:space="preserve">F4 — Evidence Vault</w:t>
      </w:r>
    </w:p>
    <w:p>
      <w:pPr>
        <w:spacing w:after="120"/>
      </w:pPr>
      <w:r>
        <w:rPr>
          <w:b w:val="false"/>
          <w:bCs w:val="false"/>
          <w:i w:val="false"/>
          <w:iCs w:val="false"/>
          <w:color w:val="1B1F1D"/>
          <w:sz w:val="21"/>
          <w:szCs w:val="21"/>
        </w:rPr>
        <w:t xml:space="preserve">Uploads: photos, PDFs, docs to object storage; linked to claim and optionally to checklist items; original filename and capture timestamp preserved; per-file cap 25 MB v1.0.</w:t>
      </w:r>
    </w:p>
    <w:p>
      <w:pPr>
        <w:pStyle w:val="ListParagraph"/>
        <w:numPr>
          <w:ilvl w:val="0"/>
          <w:numId w:val="2"/>
        </w:numPr>
        <w:spacing w:after="60"/>
      </w:pPr>
      <w:r>
        <w:rPr>
          <w:b w:val="false"/>
          <w:bCs w:val="false"/>
          <w:color w:val="1B1F1D"/>
          <w:sz w:val="21"/>
          <w:szCs w:val="21"/>
        </w:rPr>
        <w:t xml:space="preserve">AC1: a photo uploaded from mobile appears in the vault with preserved timestamp metadata.</w:t>
      </w:r>
    </w:p>
    <w:p>
      <w:pPr>
        <w:pStyle w:val="ListParagraph"/>
        <w:numPr>
          <w:ilvl w:val="0"/>
          <w:numId w:val="2"/>
        </w:numPr>
        <w:spacing w:after="60"/>
      </w:pPr>
      <w:r>
        <w:rPr>
          <w:b w:val="false"/>
          <w:bCs w:val="false"/>
          <w:color w:val="1B1F1D"/>
          <w:sz w:val="21"/>
          <w:szCs w:val="21"/>
        </w:rPr>
        <w:t xml:space="preserve">AC2: files are user-scoped in storage policies; no public URLs without signed access.</w:t>
      </w:r>
    </w:p>
    <w:p>
      <w:pPr>
        <w:pStyle w:val="ListParagraph"/>
        <w:numPr>
          <w:ilvl w:val="0"/>
          <w:numId w:val="2"/>
        </w:numPr>
        <w:spacing w:after="60"/>
      </w:pPr>
      <w:r>
        <w:rPr>
          <w:b w:val="false"/>
          <w:bCs w:val="false"/>
          <w:color w:val="1B1F1D"/>
          <w:sz w:val="21"/>
          <w:szCs w:val="21"/>
        </w:rPr>
        <w:t xml:space="preserve">AC3: checklist items can be satisfied by linking a file.</w:t>
      </w:r>
    </w:p>
    <w:p>
      <w:pPr>
        <w:pStyle w:val="Heading3"/>
        <w:spacing w:after="100" w:before="160"/>
      </w:pPr>
      <w:r>
        <w:t xml:space="preserve">F5 / F6 — Timeline &amp; Deadline Tracker</w:t>
      </w:r>
    </w:p>
    <w:p>
      <w:pPr>
        <w:spacing w:after="120"/>
      </w:pPr>
      <w:r>
        <w:rPr>
          <w:b w:val="false"/>
          <w:bCs w:val="false"/>
          <w:i w:val="false"/>
          <w:iCs w:val="false"/>
          <w:color w:val="1B1F1D"/>
          <w:sz w:val="21"/>
          <w:szCs w:val="21"/>
        </w:rPr>
        <w:t xml:space="preserve">Timeline renders entries chronologically with type icons. Deadlines: user-entered dates with countdown stamps (red ≤30 days or past, amber ≤90); quick-add suggestions computed from date of loss are always labeled “verify in policy.” Web push reminders at 30/14/3 days for installed PWA users.</w:t>
      </w:r>
    </w:p>
    <w:p>
      <w:pPr>
        <w:pStyle w:val="ListParagraph"/>
        <w:numPr>
          <w:ilvl w:val="0"/>
          <w:numId w:val="2"/>
        </w:numPr>
        <w:spacing w:after="60"/>
      </w:pPr>
      <w:r>
        <w:rPr>
          <w:b w:val="false"/>
          <w:bCs w:val="false"/>
          <w:color w:val="1B1F1D"/>
          <w:sz w:val="21"/>
          <w:szCs w:val="21"/>
        </w:rPr>
        <w:t xml:space="preserve">AC1: quick-added deadlines carry the verification label; nothing is presented as policy-authoritative.</w:t>
      </w:r>
    </w:p>
    <w:p>
      <w:pPr>
        <w:pStyle w:val="ListParagraph"/>
        <w:numPr>
          <w:ilvl w:val="0"/>
          <w:numId w:val="2"/>
        </w:numPr>
        <w:spacing w:after="60"/>
      </w:pPr>
      <w:r>
        <w:rPr>
          <w:b w:val="false"/>
          <w:bCs w:val="false"/>
          <w:color w:val="1B1F1D"/>
          <w:sz w:val="21"/>
          <w:szCs w:val="21"/>
        </w:rPr>
        <w:t xml:space="preserve">AC2: push opt-in works on installed iOS and Android PWAs; email fallback fires when push is unavailable.</w:t>
      </w:r>
    </w:p>
    <w:p>
      <w:pPr>
        <w:pStyle w:val="Heading3"/>
        <w:spacing w:after="100" w:before="160"/>
      </w:pPr>
      <w:r>
        <w:t xml:space="preserve">F7 — Analyze Suite (Policy Decoder · Gap Analyzer · Loss-Count Auditor)</w:t>
      </w:r>
    </w:p>
    <w:p>
      <w:pPr>
        <w:spacing w:after="120"/>
      </w:pPr>
      <w:r>
        <w:rPr>
          <w:b w:val="false"/>
          <w:bCs w:val="false"/>
          <w:i w:val="false"/>
          <w:iCs w:val="false"/>
          <w:color w:val="1B1F1D"/>
          <w:sz w:val="21"/>
          <w:szCs w:val="21"/>
        </w:rPr>
        <w:t xml:space="preserve">Server-side Anthropic calls using the versioned prompt templates ported verbatim from the tested prototype; owner-approved library entries (cap 12) injected on every run; outputs logged to ai_runs; plan gate: free = 1 lifetime analysis, Pro = unlimited with 30 calls/day fair use.</w:t>
      </w:r>
    </w:p>
    <w:p>
      <w:pPr>
        <w:pStyle w:val="ListParagraph"/>
        <w:numPr>
          <w:ilvl w:val="0"/>
          <w:numId w:val="2"/>
        </w:numPr>
        <w:spacing w:after="60"/>
      </w:pPr>
      <w:r>
        <w:rPr>
          <w:b w:val="false"/>
          <w:bCs w:val="false"/>
          <w:color w:val="1B1F1D"/>
          <w:sz w:val="21"/>
          <w:szCs w:val="21"/>
        </w:rPr>
        <w:t xml:space="preserve">AC1: no Anthropic key or prompt template ships in client bundles.</w:t>
      </w:r>
    </w:p>
    <w:p>
      <w:pPr>
        <w:pStyle w:val="ListParagraph"/>
        <w:numPr>
          <w:ilvl w:val="0"/>
          <w:numId w:val="2"/>
        </w:numPr>
        <w:spacing w:after="60"/>
      </w:pPr>
      <w:r>
        <w:rPr>
          <w:b w:val="false"/>
          <w:bCs w:val="false"/>
          <w:color w:val="1B1F1D"/>
          <w:sz w:val="21"/>
          <w:szCs w:val="21"/>
        </w:rPr>
        <w:t xml:space="preserve">AC2: each output records prompt_version, tokens, and tool in ai_runs.</w:t>
      </w:r>
    </w:p>
    <w:p>
      <w:pPr>
        <w:pStyle w:val="ListParagraph"/>
        <w:numPr>
          <w:ilvl w:val="0"/>
          <w:numId w:val="2"/>
        </w:numPr>
        <w:spacing w:after="60"/>
      </w:pPr>
      <w:r>
        <w:rPr>
          <w:b w:val="false"/>
          <w:bCs w:val="false"/>
          <w:color w:val="1B1F1D"/>
          <w:sz w:val="21"/>
          <w:szCs w:val="21"/>
        </w:rPr>
        <w:t xml:space="preserve">AC3: rate limits return a friendly explanation, never a raw error.</w:t>
      </w:r>
    </w:p>
    <w:p>
      <w:pPr>
        <w:pStyle w:val="ListParagraph"/>
        <w:numPr>
          <w:ilvl w:val="0"/>
          <w:numId w:val="2"/>
        </w:numPr>
        <w:spacing w:after="60"/>
      </w:pPr>
      <w:r>
        <w:rPr>
          <w:b w:val="false"/>
          <w:bCs w:val="false"/>
          <w:color w:val="1B1F1D"/>
          <w:sz w:val="21"/>
          <w:szCs w:val="21"/>
        </w:rPr>
        <w:t xml:space="preserve">AC4: Golden tests G1, G2, G4 pass against this feature in the deployed app.</w:t>
      </w:r>
    </w:p>
    <w:p>
      <w:pPr>
        <w:pStyle w:val="Heading3"/>
        <w:spacing w:after="100" w:before="160"/>
      </w:pPr>
      <w:r>
        <w:t xml:space="preserve">F8 — Letter Builder</w:t>
      </w:r>
    </w:p>
    <w:p>
      <w:pPr>
        <w:spacing w:after="120"/>
      </w:pPr>
      <w:r>
        <w:rPr>
          <w:b w:val="false"/>
          <w:bCs w:val="false"/>
          <w:i w:val="false"/>
          <w:iCs w:val="false"/>
          <w:color w:val="1B1F1D"/>
          <w:sz w:val="21"/>
          <w:szCs w:val="21"/>
        </w:rPr>
        <w:t xml:space="preserve">Four types (Supplement, Status/Delay, DOI Complaint, Non-Renewal Challenge) built from claim context + user facts + library; output ends with the self-help preparation line; UI carries the active-litigation counsel notice.</w:t>
      </w:r>
    </w:p>
    <w:p>
      <w:pPr>
        <w:pStyle w:val="ListParagraph"/>
        <w:numPr>
          <w:ilvl w:val="0"/>
          <w:numId w:val="2"/>
        </w:numPr>
        <w:spacing w:after="60"/>
      </w:pPr>
      <w:r>
        <w:rPr>
          <w:b w:val="false"/>
          <w:bCs w:val="false"/>
          <w:color w:val="1B1F1D"/>
          <w:sz w:val="21"/>
          <w:szCs w:val="21"/>
        </w:rPr>
        <w:t xml:space="preserve">AC1: letters never assert legal conclusions as fact (template-enforced).</w:t>
      </w:r>
    </w:p>
    <w:p>
      <w:pPr>
        <w:pStyle w:val="ListParagraph"/>
        <w:numPr>
          <w:ilvl w:val="0"/>
          <w:numId w:val="2"/>
        </w:numPr>
        <w:spacing w:after="60"/>
      </w:pPr>
      <w:r>
        <w:rPr>
          <w:b w:val="false"/>
          <w:bCs w:val="false"/>
          <w:color w:val="1B1F1D"/>
          <w:sz w:val="21"/>
          <w:szCs w:val="21"/>
        </w:rPr>
        <w:t xml:space="preserve">AC2: golden tests G3 and G6 pass in the deployed app.</w:t>
      </w:r>
    </w:p>
    <w:p>
      <w:pPr>
        <w:pStyle w:val="Heading3"/>
        <w:spacing w:after="100" w:before="160"/>
      </w:pPr>
      <w:r>
        <w:t xml:space="preserve">F9 — Decide (Sign-or-Fight)</w:t>
      </w:r>
    </w:p>
    <w:p>
      <w:pPr>
        <w:spacing w:after="120"/>
      </w:pPr>
      <w:r>
        <w:rPr>
          <w:b w:val="false"/>
          <w:bCs w:val="false"/>
          <w:i w:val="false"/>
          <w:iCs w:val="false"/>
          <w:color w:val="1B1F1D"/>
          <w:sz w:val="21"/>
          <w:szCs w:val="21"/>
        </w:rPr>
        <w:t xml:space="preserve">Inputs: offer, full-cost estimate, months open, disputed items → framework output (never a directive).</w:t>
      </w:r>
    </w:p>
    <w:p>
      <w:pPr>
        <w:pStyle w:val="ListParagraph"/>
        <w:numPr>
          <w:ilvl w:val="0"/>
          <w:numId w:val="2"/>
        </w:numPr>
        <w:spacing w:after="60"/>
      </w:pPr>
      <w:r>
        <w:rPr>
          <w:b w:val="false"/>
          <w:bCs w:val="false"/>
          <w:color w:val="1B1F1D"/>
          <w:sz w:val="21"/>
          <w:szCs w:val="21"/>
        </w:rPr>
        <w:t xml:space="preserve">AC1: output includes the release-permanence explanation and the educational disclaimer.</w:t>
      </w:r>
    </w:p>
    <w:p>
      <w:pPr>
        <w:pStyle w:val="Heading3"/>
        <w:spacing w:after="100" w:before="160"/>
      </w:pPr>
      <w:r>
        <w:t xml:space="preserve">F10 — Knowledge Library</w:t>
      </w:r>
    </w:p>
    <w:p>
      <w:pPr>
        <w:spacing w:after="120"/>
      </w:pPr>
      <w:r>
        <w:rPr>
          <w:b w:val="false"/>
          <w:bCs w:val="false"/>
          <w:i w:val="false"/>
          <w:iCs w:val="false"/>
          <w:color w:val="1B1F1D"/>
          <w:sz w:val="21"/>
          <w:szCs w:val="21"/>
        </w:rPr>
        <w:t xml:space="preserve">Entry schema: type (statute/code/price/procedure), jurisdiction, cite, summary, verified date, active flag, source. AI intake structures pasted raw material into drafts with confidence and verify-notes; nothing becomes active without explicit owner approval. Global curated entries are admin-managed; user entries are private.</w:t>
      </w:r>
    </w:p>
    <w:p>
      <w:pPr>
        <w:pStyle w:val="ListParagraph"/>
        <w:numPr>
          <w:ilvl w:val="0"/>
          <w:numId w:val="2"/>
        </w:numPr>
        <w:spacing w:after="60"/>
      </w:pPr>
      <w:r>
        <w:rPr>
          <w:b w:val="false"/>
          <w:bCs w:val="false"/>
          <w:color w:val="1B1F1D"/>
          <w:sz w:val="21"/>
          <w:szCs w:val="21"/>
        </w:rPr>
        <w:t xml:space="preserve">AC1: an unapproved draft is never injected into any AI call.</w:t>
      </w:r>
    </w:p>
    <w:p>
      <w:pPr>
        <w:pStyle w:val="ListParagraph"/>
        <w:numPr>
          <w:ilvl w:val="0"/>
          <w:numId w:val="2"/>
        </w:numPr>
        <w:spacing w:after="60"/>
      </w:pPr>
      <w:r>
        <w:rPr>
          <w:b w:val="false"/>
          <w:bCs w:val="false"/>
          <w:color w:val="1B1F1D"/>
          <w:sz w:val="21"/>
          <w:szCs w:val="21"/>
        </w:rPr>
        <w:t xml:space="preserve">AC2: drafts display confidence and a verification note; approval stamps the verified date.</w:t>
      </w:r>
    </w:p>
    <w:p>
      <w:pPr>
        <w:pStyle w:val="ListParagraph"/>
        <w:numPr>
          <w:ilvl w:val="0"/>
          <w:numId w:val="2"/>
        </w:numPr>
        <w:spacing w:after="60"/>
      </w:pPr>
      <w:r>
        <w:rPr>
          <w:b w:val="false"/>
          <w:bCs w:val="false"/>
          <w:color w:val="1B1F1D"/>
          <w:sz w:val="21"/>
          <w:szCs w:val="21"/>
        </w:rPr>
        <w:t xml:space="preserve">AC3: deactivated entries are excluded from injection immediately.</w:t>
      </w:r>
    </w:p>
    <w:p>
      <w:pPr>
        <w:pStyle w:val="Heading3"/>
        <w:spacing w:after="100" w:before="160"/>
      </w:pPr>
      <w:r>
        <w:t xml:space="preserve">F11 — Claim Grade (public grader)</w:t>
      </w:r>
    </w:p>
    <w:p>
      <w:pPr>
        <w:spacing w:after="120"/>
      </w:pPr>
      <w:r>
        <w:rPr>
          <w:b w:val="false"/>
          <w:bCs w:val="false"/>
          <w:i w:val="false"/>
          <w:iCs w:val="false"/>
          <w:color w:val="1B1F1D"/>
          <w:sz w:val="21"/>
          <w:szCs w:val="21"/>
        </w:rPr>
        <w:t xml:space="preserve">Eight-question deterministic rubric (server-side scoring), contact gate with explicit consent, AI breakdown, results email, lead stored with grade tag for segmented follow-up.</w:t>
      </w:r>
    </w:p>
    <w:p>
      <w:pPr>
        <w:pStyle w:val="ListParagraph"/>
        <w:numPr>
          <w:ilvl w:val="0"/>
          <w:numId w:val="2"/>
        </w:numPr>
        <w:spacing w:after="60"/>
      </w:pPr>
      <w:r>
        <w:rPr>
          <w:b w:val="false"/>
          <w:bCs w:val="false"/>
          <w:color w:val="1B1F1D"/>
          <w:sz w:val="21"/>
          <w:szCs w:val="21"/>
        </w:rPr>
        <w:t xml:space="preserve">AC1: identical answers yield identical grades; scoring runs server-side.</w:t>
      </w:r>
    </w:p>
    <w:p>
      <w:pPr>
        <w:pStyle w:val="ListParagraph"/>
        <w:numPr>
          <w:ilvl w:val="0"/>
          <w:numId w:val="2"/>
        </w:numPr>
        <w:spacing w:after="60"/>
      </w:pPr>
      <w:r>
        <w:rPr>
          <w:b w:val="false"/>
          <w:bCs w:val="false"/>
          <w:color w:val="1B1F1D"/>
          <w:sz w:val="21"/>
          <w:szCs w:val="21"/>
        </w:rPr>
        <w:t xml:space="preserve">AC2: no results without consent checkbox; unsubscribe honored end-to-end.</w:t>
      </w:r>
    </w:p>
    <w:p>
      <w:pPr>
        <w:pStyle w:val="Heading3"/>
        <w:spacing w:after="100" w:before="160"/>
      </w:pPr>
      <w:r>
        <w:t xml:space="preserve">F12 — Account, Billing, Settings</w:t>
      </w:r>
    </w:p>
    <w:p>
      <w:pPr>
        <w:spacing w:after="120"/>
      </w:pPr>
      <w:r>
        <w:rPr>
          <w:b w:val="false"/>
          <w:bCs w:val="false"/>
          <w:i w:val="false"/>
          <w:iCs w:val="false"/>
          <w:color w:val="1B1F1D"/>
          <w:sz w:val="21"/>
          <w:szCs w:val="21"/>
        </w:rPr>
        <w:t xml:space="preserve">Stripe Checkout + Customer Portal; plan display; full data export (JSON + files zip); account deletion removing rows and storage objects within 30 days.</w:t>
      </w:r>
    </w:p>
    <w:p>
      <w:pPr>
        <w:pStyle w:val="ListParagraph"/>
        <w:numPr>
          <w:ilvl w:val="0"/>
          <w:numId w:val="2"/>
        </w:numPr>
        <w:spacing w:after="60"/>
      </w:pPr>
      <w:r>
        <w:rPr>
          <w:b w:val="false"/>
          <w:bCs w:val="false"/>
          <w:color w:val="1B1F1D"/>
          <w:sz w:val="21"/>
          <w:szCs w:val="21"/>
        </w:rPr>
        <w:t xml:space="preserve">AC1: deletion and export are self-serve, no support ticket required.</w:t>
      </w:r>
    </w:p>
    <w:p>
      <w:pPr>
        <w:pStyle w:val="ListParagraph"/>
        <w:numPr>
          <w:ilvl w:val="0"/>
          <w:numId w:val="2"/>
        </w:numPr>
        <w:spacing w:after="60"/>
      </w:pPr>
      <w:r>
        <w:rPr>
          <w:b w:val="false"/>
          <w:bCs w:val="false"/>
          <w:color w:val="1B1F1D"/>
          <w:sz w:val="21"/>
          <w:szCs w:val="21"/>
        </w:rPr>
        <w:t xml:space="preserve">AC2: webhook failures retry; plan state never depends on a single request.</w:t>
      </w:r>
    </w:p>
    <w:p>
      <w:pPr>
        <w:pStyle w:val="Heading2"/>
        <w:spacing w:after="120" w:before="200"/>
      </w:pPr>
      <w:r>
        <w:t xml:space="preserve">2.6 Cross-Cutting Requirements</w:t>
      </w:r>
    </w:p>
    <w:p>
      <w:pPr>
        <w:pStyle w:val="ListParagraph"/>
        <w:numPr>
          <w:ilvl w:val="0"/>
          <w:numId w:val="2"/>
        </w:numPr>
        <w:spacing w:after="60"/>
      </w:pPr>
      <w:r>
        <w:rPr>
          <w:b w:val="false"/>
          <w:bCs w:val="false"/>
          <w:color w:val="1B1F1D"/>
          <w:sz w:val="21"/>
          <w:szCs w:val="21"/>
        </w:rPr>
        <w:t xml:space="preserve">Accessibility: WCAG 2.1 AA minimum using the measured token pairs in Volume III; touch targets ≥44px; visible focus states; forms labeled.</w:t>
      </w:r>
    </w:p>
    <w:p>
      <w:pPr>
        <w:pStyle w:val="ListParagraph"/>
        <w:numPr>
          <w:ilvl w:val="0"/>
          <w:numId w:val="2"/>
        </w:numPr>
        <w:spacing w:after="60"/>
      </w:pPr>
      <w:r>
        <w:rPr>
          <w:b w:val="false"/>
          <w:bCs w:val="false"/>
          <w:color w:val="1B1F1D"/>
          <w:sz w:val="21"/>
          <w:szCs w:val="21"/>
        </w:rPr>
        <w:t xml:space="preserve">Performance: mobile LCP &lt; 2.5s on the dashboard; AI responses stream or show progress and complete &lt; 15s p90.</w:t>
      </w:r>
    </w:p>
    <w:p>
      <w:pPr>
        <w:pStyle w:val="ListParagraph"/>
        <w:numPr>
          <w:ilvl w:val="0"/>
          <w:numId w:val="2"/>
        </w:numPr>
        <w:spacing w:after="60"/>
      </w:pPr>
      <w:r>
        <w:rPr>
          <w:b w:val="false"/>
          <w:bCs w:val="false"/>
          <w:color w:val="1B1F1D"/>
          <w:sz w:val="21"/>
          <w:szCs w:val="21"/>
        </w:rPr>
        <w:t xml:space="preserve">Privacy: no claim contents, letters, or AI outputs in analytics or logs; events carry metadata only.</w:t>
      </w:r>
    </w:p>
    <w:p>
      <w:pPr>
        <w:pStyle w:val="ListParagraph"/>
        <w:numPr>
          <w:ilvl w:val="0"/>
          <w:numId w:val="2"/>
        </w:numPr>
        <w:spacing w:after="60"/>
      </w:pPr>
      <w:r>
        <w:rPr>
          <w:b w:val="false"/>
          <w:bCs w:val="false"/>
          <w:color w:val="1B1F1D"/>
          <w:sz w:val="21"/>
          <w:szCs w:val="21"/>
        </w:rPr>
        <w:t xml:space="preserve">Reliability: AI failures degrade gracefully — the binder always works even if analysis is down.</w:t>
      </w:r>
    </w:p>
    <w:p>
      <w:pPr>
        <w:pStyle w:val="Heading2"/>
        <w:spacing w:after="120" w:before="200"/>
      </w:pPr>
      <w:r>
        <w:t xml:space="preserve">2.7 Analytics Events (metadata only — never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shd w:fill="E4EBE6" w:val="clear"/>
            <w:tcMar>
              <w:top w:type="dxa" w:w="70"/>
              <w:left w:type="dxa" w:w="110"/>
              <w:bottom w:type="dxa" w:w="70"/>
              <w:right w:type="dxa" w:w="110"/>
            </w:tcMar>
          </w:tcPr>
          <w:p>
            <w:pPr>
              <w:spacing w:after="0"/>
            </w:pPr>
            <w:r>
              <w:rPr>
                <w:b/>
                <w:bCs/>
                <w:color w:val="1B1F1D"/>
                <w:sz w:val="18"/>
                <w:szCs w:val="18"/>
              </w:rPr>
              <w:t xml:space="preserve">Event</w:t>
            </w:r>
          </w:p>
        </w:tc>
        <w:tc>
          <w:tcPr>
            <w:tcW w:type="dxa" w:w="3000"/>
            <w:shd w:fill="E4EBE6" w:val="clear"/>
            <w:tcMar>
              <w:top w:type="dxa" w:w="70"/>
              <w:left w:type="dxa" w:w="110"/>
              <w:bottom w:type="dxa" w:w="70"/>
              <w:right w:type="dxa" w:w="110"/>
            </w:tcMar>
          </w:tcPr>
          <w:p>
            <w:pPr>
              <w:spacing w:after="0"/>
            </w:pPr>
            <w:r>
              <w:rPr>
                <w:b/>
                <w:bCs/>
                <w:color w:val="1B1F1D"/>
                <w:sz w:val="18"/>
                <w:szCs w:val="18"/>
              </w:rPr>
              <w:t xml:space="preserve">Properties</w:t>
            </w:r>
          </w:p>
        </w:tc>
        <w:tc>
          <w:tcPr>
            <w:tcW w:type="dxa" w:w="3360"/>
            <w:shd w:fill="E4EBE6" w:val="clear"/>
            <w:tcMar>
              <w:top w:type="dxa" w:w="70"/>
              <w:left w:type="dxa" w:w="110"/>
              <w:bottom w:type="dxa" w:w="70"/>
              <w:right w:type="dxa" w:w="110"/>
            </w:tcMar>
          </w:tcPr>
          <w:p>
            <w:pPr>
              <w:spacing w:after="0"/>
            </w:pPr>
            <w:r>
              <w:rPr>
                <w:b/>
                <w:bCs/>
                <w:color w:val="1B1F1D"/>
                <w:sz w:val="18"/>
                <w:szCs w:val="18"/>
              </w:rPr>
              <w:t xml:space="preserve">Question it answers</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signup / claim_created</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source, damage_category</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Activation top of funnel</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entry_added / deadline_added / evidence_checked / file_uploaded</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claim_age_days, count</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Is the binder habit forming?</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ai_run</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tool, plan, prompt_version, latency</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Which analyses deliver value?</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paywall_viewed / checkout_completed</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trigger_feature, price_variant</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Free→Pro conversion and best trigger</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letter_generated</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letter_type</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North-star proxy: value realized</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grade_completed / lead_captured</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grade, state</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Grader funnel health</w:t>
            </w:r>
          </w:p>
        </w:tc>
      </w:tr>
      <w:tr>
        <w:tc>
          <w:tcPr>
            <w:tcW w:type="dxa" w:w="3000"/>
            <w:tcMar>
              <w:top w:type="dxa" w:w="70"/>
              <w:left w:type="dxa" w:w="110"/>
              <w:bottom w:type="dxa" w:w="70"/>
              <w:right w:type="dxa" w:w="110"/>
            </w:tcMar>
          </w:tcPr>
          <w:p>
            <w:pPr>
              <w:spacing w:after="0"/>
            </w:pPr>
            <w:r>
              <w:rPr>
                <w:b w:val="false"/>
                <w:bCs w:val="false"/>
                <w:color w:val="1B1F1D"/>
                <w:sz w:val="18"/>
                <w:szCs w:val="18"/>
              </w:rPr>
              <w:t xml:space="preserve">export_requested / account_deleted</w:t>
            </w:r>
          </w:p>
        </w:tc>
        <w:tc>
          <w:tcPr>
            <w:tcW w:type="dxa" w:w="3000"/>
            <w:tcMar>
              <w:top w:type="dxa" w:w="70"/>
              <w:left w:type="dxa" w:w="110"/>
              <w:bottom w:type="dxa" w:w="70"/>
              <w:right w:type="dxa" w:w="110"/>
            </w:tcMar>
          </w:tcPr>
          <w:p>
            <w:pPr>
              <w:spacing w:after="0"/>
            </w:pPr>
            <w:r>
              <w:rPr>
                <w:b w:val="false"/>
                <w:bCs w:val="false"/>
                <w:color w:val="1B1F1D"/>
                <w:sz w:val="18"/>
                <w:szCs w:val="18"/>
              </w:rPr>
              <w:t xml:space="preserve">—</w:t>
            </w:r>
          </w:p>
        </w:tc>
        <w:tc>
          <w:tcPr>
            <w:tcW w:type="dxa" w:w="3360"/>
            <w:tcMar>
              <w:top w:type="dxa" w:w="70"/>
              <w:left w:type="dxa" w:w="110"/>
              <w:bottom w:type="dxa" w:w="70"/>
              <w:right w:type="dxa" w:w="110"/>
            </w:tcMar>
          </w:tcPr>
          <w:p>
            <w:pPr>
              <w:spacing w:after="0"/>
            </w:pPr>
            <w:r>
              <w:rPr>
                <w:b w:val="false"/>
                <w:bCs w:val="false"/>
                <w:color w:val="1B1F1D"/>
                <w:sz w:val="18"/>
                <w:szCs w:val="18"/>
              </w:rPr>
              <w:t xml:space="preserve">Trust features in use</w:t>
            </w:r>
          </w:p>
        </w:tc>
      </w:tr>
    </w:tbl>
    <w:p>
      <w:pPr>
        <w:spacing w:after="120"/>
      </w:pPr>
      <w:r>
        <w:rPr>
          <w:b w:val="false"/>
          <w:bCs w:val="false"/>
          <w:i w:val="false"/>
          <w:iCs w:val="false"/>
          <w:color w:val="1B1F1D"/>
          <w:sz w:val="21"/>
          <w:szCs w:val="21"/>
        </w:rPr>
        <w:t xml:space="preserve"/>
      </w:r>
    </w:p>
    <w:p>
      <w:pPr>
        <w:pStyle w:val="Heading2"/>
        <w:spacing w:after="120" w:before="200"/>
      </w:pPr>
      <w:r>
        <w:t xml:space="preserve">2.8 Release Gate — Test Run 02</w:t>
      </w:r>
    </w:p>
    <w:p>
      <w:pPr>
        <w:spacing w:after="120"/>
      </w:pPr>
      <w:r>
        <w:rPr>
          <w:b w:val="false"/>
          <w:bCs w:val="false"/>
          <w:i w:val="false"/>
          <w:iCs w:val="false"/>
          <w:color w:val="1B1F1D"/>
          <w:sz w:val="21"/>
          <w:szCs w:val="21"/>
        </w:rPr>
        <w:t xml:space="preserve">Beta does not open until golden tests G1–G6 (claim-binder-test-run-01.md) pass inside the deployed application on two consecutive runs, with zero fabricated citations and zero representation-language failures. Any prompt or library change thereafter triggers a full regression rerun.</w:t>
      </w:r>
    </w:p>
    <w:p>
      <w:pPr>
        <w:pStyle w:val="Heading2"/>
        <w:spacing w:after="120" w:before="200"/>
      </w:pPr>
      <w:r>
        <w:t xml:space="preserve">2.9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4EBE6" w:val="clear"/>
            <w:tcMar>
              <w:top w:type="dxa" w:w="70"/>
              <w:left w:type="dxa" w:w="110"/>
              <w:bottom w:type="dxa" w:w="70"/>
              <w:right w:type="dxa" w:w="110"/>
            </w:tcMar>
          </w:tcPr>
          <w:p>
            <w:pPr>
              <w:spacing w:after="0"/>
            </w:pPr>
            <w:r>
              <w:rPr>
                <w:b/>
                <w:bCs/>
                <w:color w:val="1B1F1D"/>
                <w:sz w:val="18"/>
                <w:szCs w:val="18"/>
              </w:rPr>
              <w:t xml:space="preserve">Version</w:t>
            </w:r>
          </w:p>
        </w:tc>
        <w:tc>
          <w:tcPr>
            <w:tcW w:type="dxa" w:w="7560"/>
            <w:shd w:fill="E4EBE6" w:val="clear"/>
            <w:tcMar>
              <w:top w:type="dxa" w:w="70"/>
              <w:left w:type="dxa" w:w="110"/>
              <w:bottom w:type="dxa" w:w="70"/>
              <w:right w:type="dxa" w:w="110"/>
            </w:tcMar>
          </w:tcPr>
          <w:p>
            <w:pPr>
              <w:spacing w:after="0"/>
            </w:pPr>
            <w:r>
              <w:rPr>
                <w:b/>
                <w:bCs/>
                <w:color w:val="1B1F1D"/>
                <w:sz w:val="18"/>
                <w:szCs w:val="18"/>
              </w:rPr>
              <w:t xml:space="preserve">Scope</w:t>
            </w:r>
          </w:p>
        </w:tc>
      </w:tr>
      <w:tr>
        <w:tc>
          <w:tcPr>
            <w:tcW w:type="dxa" w:w="1800"/>
            <w:tcMar>
              <w:top w:type="dxa" w:w="70"/>
              <w:left w:type="dxa" w:w="110"/>
              <w:bottom w:type="dxa" w:w="70"/>
              <w:right w:type="dxa" w:w="110"/>
            </w:tcMar>
          </w:tcPr>
          <w:p>
            <w:pPr>
              <w:spacing w:after="0"/>
            </w:pPr>
            <w:r>
              <w:rPr>
                <w:b w:val="false"/>
                <w:bCs w:val="false"/>
                <w:color w:val="1B1F1D"/>
                <w:sz w:val="18"/>
                <w:szCs w:val="18"/>
              </w:rPr>
              <w:t xml:space="preserve">v1.0 (beta)</w:t>
            </w:r>
          </w:p>
        </w:tc>
        <w:tc>
          <w:tcPr>
            <w:tcW w:type="dxa" w:w="7560"/>
            <w:tcMar>
              <w:top w:type="dxa" w:w="70"/>
              <w:left w:type="dxa" w:w="110"/>
              <w:bottom w:type="dxa" w:w="70"/>
              <w:right w:type="dxa" w:w="110"/>
            </w:tcMar>
          </w:tcPr>
          <w:p>
            <w:pPr>
              <w:spacing w:after="0"/>
            </w:pPr>
            <w:r>
              <w:rPr>
                <w:b w:val="false"/>
                <w:bCs w:val="false"/>
                <w:color w:val="1B1F1D"/>
                <w:sz w:val="18"/>
                <w:szCs w:val="18"/>
              </w:rPr>
              <w:t xml:space="preserve">Everything in §2.5; web PWA; 10-user private beta from Threads</w:t>
            </w:r>
          </w:p>
        </w:tc>
      </w:tr>
      <w:tr>
        <w:tc>
          <w:tcPr>
            <w:tcW w:type="dxa" w:w="1800"/>
            <w:tcMar>
              <w:top w:type="dxa" w:w="70"/>
              <w:left w:type="dxa" w:w="110"/>
              <w:bottom w:type="dxa" w:w="70"/>
              <w:right w:type="dxa" w:w="110"/>
            </w:tcMar>
          </w:tcPr>
          <w:p>
            <w:pPr>
              <w:spacing w:after="0"/>
            </w:pPr>
            <w:r>
              <w:rPr>
                <w:b w:val="false"/>
                <w:bCs w:val="false"/>
                <w:color w:val="1B1F1D"/>
                <w:sz w:val="18"/>
                <w:szCs w:val="18"/>
              </w:rPr>
              <w:t xml:space="preserve">v1.1</w:t>
            </w:r>
          </w:p>
        </w:tc>
        <w:tc>
          <w:tcPr>
            <w:tcW w:type="dxa" w:w="7560"/>
            <w:tcMar>
              <w:top w:type="dxa" w:w="70"/>
              <w:left w:type="dxa" w:w="110"/>
              <w:bottom w:type="dxa" w:w="70"/>
              <w:right w:type="dxa" w:w="110"/>
            </w:tcMar>
          </w:tcPr>
          <w:p>
            <w:pPr>
              <w:spacing w:after="0"/>
            </w:pPr>
            <w:r>
              <w:rPr>
                <w:b w:val="false"/>
                <w:bCs w:val="false"/>
                <w:color w:val="1B1F1D"/>
                <w:sz w:val="18"/>
                <w:szCs w:val="18"/>
              </w:rPr>
              <w:t xml:space="preserve">PDF ingestion (policy/estimate upload → extraction → same prompts); binder export to PDF exhibit package</w:t>
            </w:r>
          </w:p>
        </w:tc>
      </w:tr>
      <w:tr>
        <w:tc>
          <w:tcPr>
            <w:tcW w:type="dxa" w:w="1800"/>
            <w:tcMar>
              <w:top w:type="dxa" w:w="70"/>
              <w:left w:type="dxa" w:w="110"/>
              <w:bottom w:type="dxa" w:w="70"/>
              <w:right w:type="dxa" w:w="110"/>
            </w:tcMar>
          </w:tcPr>
          <w:p>
            <w:pPr>
              <w:spacing w:after="0"/>
            </w:pPr>
            <w:r>
              <w:rPr>
                <w:b w:val="false"/>
                <w:bCs w:val="false"/>
                <w:color w:val="1B1F1D"/>
                <w:sz w:val="18"/>
                <w:szCs w:val="18"/>
              </w:rPr>
              <w:t xml:space="preserve">v2.0</w:t>
            </w:r>
          </w:p>
        </w:tc>
        <w:tc>
          <w:tcPr>
            <w:tcW w:type="dxa" w:w="7560"/>
            <w:tcMar>
              <w:top w:type="dxa" w:w="70"/>
              <w:left w:type="dxa" w:w="110"/>
              <w:bottom w:type="dxa" w:w="70"/>
              <w:right w:type="dxa" w:w="110"/>
            </w:tcMar>
          </w:tcPr>
          <w:p>
            <w:pPr>
              <w:spacing w:after="0"/>
            </w:pPr>
            <w:r>
              <w:rPr>
                <w:b w:val="false"/>
                <w:bCs w:val="false"/>
                <w:color w:val="1B1F1D"/>
                <w:sz w:val="18"/>
                <w:szCs w:val="18"/>
              </w:rPr>
              <w:t xml:space="preserve">Native wrappers (Capacitor) + app-store listings per Volume IV §11</w:t>
            </w:r>
          </w:p>
        </w:tc>
      </w:tr>
      <w:tr>
        <w:tc>
          <w:tcPr>
            <w:tcW w:type="dxa" w:w="1800"/>
            <w:tcMar>
              <w:top w:type="dxa" w:w="70"/>
              <w:left w:type="dxa" w:w="110"/>
              <w:bottom w:type="dxa" w:w="70"/>
              <w:right w:type="dxa" w:w="110"/>
            </w:tcMar>
          </w:tcPr>
          <w:p>
            <w:pPr>
              <w:spacing w:after="0"/>
            </w:pPr>
            <w:r>
              <w:rPr>
                <w:b w:val="false"/>
                <w:bCs w:val="false"/>
                <w:color w:val="1B1F1D"/>
                <w:sz w:val="18"/>
                <w:szCs w:val="18"/>
              </w:rPr>
              <w:t xml:space="preserve">v3.0</w:t>
            </w:r>
          </w:p>
        </w:tc>
        <w:tc>
          <w:tcPr>
            <w:tcW w:type="dxa" w:w="7560"/>
            <w:tcMar>
              <w:top w:type="dxa" w:w="70"/>
              <w:left w:type="dxa" w:w="110"/>
              <w:bottom w:type="dxa" w:w="70"/>
              <w:right w:type="dxa" w:w="110"/>
            </w:tcMar>
          </w:tcPr>
          <w:p>
            <w:pPr>
              <w:spacing w:after="0"/>
            </w:pPr>
            <w:r>
              <w:rPr>
                <w:b w:val="false"/>
                <w:bCs w:val="false"/>
                <w:color w:val="1B1F1D"/>
                <w:sz w:val="18"/>
                <w:szCs w:val="18"/>
              </w:rPr>
              <w:t xml:space="preserve">Landlord multi-property workflows; contractor documentation module</w:t>
            </w:r>
          </w:p>
        </w:tc>
      </w:tr>
    </w:tbl>
    <w:p>
      <w:pPr>
        <w:spacing w:after="120"/>
      </w:pPr>
      <w:r>
        <w:rPr>
          <w:b w:val="false"/>
          <w:bCs w:val="false"/>
          <w:i w:val="false"/>
          <w:iCs w:val="false"/>
          <w:color w:val="1B1F1D"/>
          <w:sz w:val="21"/>
          <w:szCs w:val="21"/>
        </w:rPr>
        <w:t xml:space="preserve"/>
      </w:r>
    </w:p>
    <w:p>
      <w:pPr>
        <w:pStyle w:val="Heading2"/>
        <w:spacing w:after="120" w:before="200"/>
      </w:pPr>
      <w:r>
        <w:t xml:space="preserve">2.10 Open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560"/>
        <w:gridCol w:w="1800"/>
      </w:tblGrid>
      <w:tr>
        <w:trPr>
          <w:tblHeader/>
        </w:trPr>
        <w:tc>
          <w:tcPr>
            <w:tcW w:type="dxa" w:w="1700"/>
            <w:shd w:fill="E4EBE6" w:val="clear"/>
            <w:tcMar>
              <w:top w:type="dxa" w:w="70"/>
              <w:left w:type="dxa" w:w="110"/>
              <w:bottom w:type="dxa" w:w="70"/>
              <w:right w:type="dxa" w:w="110"/>
            </w:tcMar>
          </w:tcPr>
          <w:p>
            <w:pPr>
              <w:spacing w:after="0"/>
            </w:pPr>
            <w:r>
              <w:rPr>
                <w:b/>
                <w:bCs/>
                <w:color w:val="1B1F1D"/>
                <w:sz w:val="18"/>
                <w:szCs w:val="18"/>
              </w:rPr>
              <w:t xml:space="preserve">Decision</w:t>
            </w:r>
          </w:p>
        </w:tc>
        <w:tc>
          <w:tcPr>
            <w:tcW w:type="dxa" w:w="2300"/>
            <w:shd w:fill="E4EBE6" w:val="clear"/>
            <w:tcMar>
              <w:top w:type="dxa" w:w="70"/>
              <w:left w:type="dxa" w:w="110"/>
              <w:bottom w:type="dxa" w:w="70"/>
              <w:right w:type="dxa" w:w="110"/>
            </w:tcMar>
          </w:tcPr>
          <w:p>
            <w:pPr>
              <w:spacing w:after="0"/>
            </w:pPr>
            <w:r>
              <w:rPr>
                <w:b/>
                <w:bCs/>
                <w:color w:val="1B1F1D"/>
                <w:sz w:val="18"/>
                <w:szCs w:val="18"/>
              </w:rPr>
              <w:t xml:space="preserve">Options</w:t>
            </w:r>
          </w:p>
        </w:tc>
        <w:tc>
          <w:tcPr>
            <w:tcW w:type="dxa" w:w="3560"/>
            <w:shd w:fill="E4EBE6" w:val="clear"/>
            <w:tcMar>
              <w:top w:type="dxa" w:w="70"/>
              <w:left w:type="dxa" w:w="110"/>
              <w:bottom w:type="dxa" w:w="70"/>
              <w:right w:type="dxa" w:w="110"/>
            </w:tcMar>
          </w:tcPr>
          <w:p>
            <w:pPr>
              <w:spacing w:after="0"/>
            </w:pPr>
            <w:r>
              <w:rPr>
                <w:b/>
                <w:bCs/>
                <w:color w:val="1B1F1D"/>
                <w:sz w:val="18"/>
                <w:szCs w:val="18"/>
              </w:rPr>
              <w:t xml:space="preserve">Recommendation</w:t>
            </w:r>
          </w:p>
        </w:tc>
        <w:tc>
          <w:tcPr>
            <w:tcW w:type="dxa" w:w="1800"/>
            <w:shd w:fill="E4EBE6" w:val="clear"/>
            <w:tcMar>
              <w:top w:type="dxa" w:w="70"/>
              <w:left w:type="dxa" w:w="110"/>
              <w:bottom w:type="dxa" w:w="70"/>
              <w:right w:type="dxa" w:w="110"/>
            </w:tcMar>
          </w:tcPr>
          <w:p>
            <w:pPr>
              <w:spacing w:after="0"/>
            </w:pPr>
            <w:r>
              <w:rPr>
                <w:b/>
                <w:bCs/>
                <w:color w:val="1B1F1D"/>
                <w:sz w:val="18"/>
                <w:szCs w:val="18"/>
              </w:rPr>
              <w:t xml:space="preserve">Owner / needed by</w:t>
            </w:r>
          </w:p>
        </w:tc>
      </w:tr>
      <w:tr>
        <w:tc>
          <w:tcPr>
            <w:tcW w:type="dxa" w:w="1700"/>
            <w:tcMar>
              <w:top w:type="dxa" w:w="70"/>
              <w:left w:type="dxa" w:w="110"/>
              <w:bottom w:type="dxa" w:w="70"/>
              <w:right w:type="dxa" w:w="110"/>
            </w:tcMar>
          </w:tcPr>
          <w:p>
            <w:pPr>
              <w:spacing w:after="0"/>
            </w:pPr>
            <w:r>
              <w:rPr>
                <w:b w:val="false"/>
                <w:bCs w:val="false"/>
                <w:color w:val="1B1F1D"/>
                <w:sz w:val="18"/>
                <w:szCs w:val="18"/>
              </w:rPr>
              <w:t xml:space="preserve">Score naming</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Claim Health Score vs. Claim Strength Score</w:t>
            </w:r>
          </w:p>
        </w:tc>
        <w:tc>
          <w:tcPr>
            <w:tcW w:type="dxa" w:w="3560"/>
            <w:tcMar>
              <w:top w:type="dxa" w:w="70"/>
              <w:left w:type="dxa" w:w="110"/>
              <w:bottom w:type="dxa" w:w="70"/>
              <w:right w:type="dxa" w:w="110"/>
            </w:tcMar>
          </w:tcPr>
          <w:p>
            <w:pPr>
              <w:spacing w:after="0"/>
            </w:pPr>
            <w:r>
              <w:rPr>
                <w:b w:val="false"/>
                <w:bCs w:val="false"/>
                <w:color w:val="1B1F1D"/>
                <w:sz w:val="18"/>
                <w:szCs w:val="18"/>
              </w:rPr>
              <w:t xml:space="preserve">Keep Claim Health Score. “Health” describes the file's condition; “strength” invites reading as a judgment on the claim's merits — the outcome-prediction line this product must never cross. No ™ in-product either way until counsel review.</w:t>
            </w:r>
          </w:p>
        </w:tc>
        <w:tc>
          <w:tcPr>
            <w:tcW w:type="dxa" w:w="1800"/>
            <w:tcMar>
              <w:top w:type="dxa" w:w="70"/>
              <w:left w:type="dxa" w:w="110"/>
              <w:bottom w:type="dxa" w:w="70"/>
              <w:right w:type="dxa" w:w="110"/>
            </w:tcMar>
          </w:tcPr>
          <w:p>
            <w:pPr>
              <w:spacing w:after="0"/>
            </w:pPr>
            <w:r>
              <w:rPr>
                <w:b w:val="false"/>
                <w:bCs w:val="false"/>
                <w:color w:val="1B1F1D"/>
                <w:sz w:val="18"/>
                <w:szCs w:val="18"/>
              </w:rPr>
              <w:t xml:space="preserve">Founder / before beta</w:t>
            </w:r>
          </w:p>
        </w:tc>
      </w:tr>
      <w:tr>
        <w:tc>
          <w:tcPr>
            <w:tcW w:type="dxa" w:w="1700"/>
            <w:tcMar>
              <w:top w:type="dxa" w:w="70"/>
              <w:left w:type="dxa" w:w="110"/>
              <w:bottom w:type="dxa" w:w="70"/>
              <w:right w:type="dxa" w:w="110"/>
            </w:tcMar>
          </w:tcPr>
          <w:p>
            <w:pPr>
              <w:spacing w:after="0"/>
            </w:pPr>
            <w:r>
              <w:rPr>
                <w:b w:val="false"/>
                <w:bCs w:val="false"/>
                <w:color w:val="1B1F1D"/>
                <w:sz w:val="18"/>
                <w:szCs w:val="18"/>
              </w:rPr>
              <w:t xml:space="preserve">Pricing</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$49 one-time per claim vs. $19/month</w:t>
            </w:r>
          </w:p>
        </w:tc>
        <w:tc>
          <w:tcPr>
            <w:tcW w:type="dxa" w:w="3560"/>
            <w:tcMar>
              <w:top w:type="dxa" w:w="70"/>
              <w:left w:type="dxa" w:w="110"/>
              <w:bottom w:type="dxa" w:w="70"/>
              <w:right w:type="dxa" w:w="110"/>
            </w:tcMar>
          </w:tcPr>
          <w:p>
            <w:pPr>
              <w:spacing w:after="0"/>
            </w:pPr>
            <w:r>
              <w:rPr>
                <w:b w:val="false"/>
                <w:bCs w:val="false"/>
                <w:color w:val="1B1F1D"/>
                <w:sz w:val="18"/>
                <w:szCs w:val="18"/>
              </w:rPr>
              <w:t xml:space="preserve">A/B by cohort at the paywall; episodic problem favors one-time</w:t>
            </w:r>
          </w:p>
        </w:tc>
        <w:tc>
          <w:tcPr>
            <w:tcW w:type="dxa" w:w="1800"/>
            <w:tcMar>
              <w:top w:type="dxa" w:w="70"/>
              <w:left w:type="dxa" w:w="110"/>
              <w:bottom w:type="dxa" w:w="70"/>
              <w:right w:type="dxa" w:w="110"/>
            </w:tcMar>
          </w:tcPr>
          <w:p>
            <w:pPr>
              <w:spacing w:after="0"/>
            </w:pPr>
            <w:r>
              <w:rPr>
                <w:b w:val="false"/>
                <w:bCs w:val="false"/>
                <w:color w:val="1B1F1D"/>
                <w:sz w:val="18"/>
                <w:szCs w:val="18"/>
              </w:rPr>
              <w:t xml:space="preserve">Founder / beta week 2</w:t>
            </w:r>
          </w:p>
        </w:tc>
      </w:tr>
      <w:tr>
        <w:tc>
          <w:tcPr>
            <w:tcW w:type="dxa" w:w="1700"/>
            <w:tcMar>
              <w:top w:type="dxa" w:w="70"/>
              <w:left w:type="dxa" w:w="110"/>
              <w:bottom w:type="dxa" w:w="70"/>
              <w:right w:type="dxa" w:w="110"/>
            </w:tcMar>
          </w:tcPr>
          <w:p>
            <w:pPr>
              <w:spacing w:after="0"/>
            </w:pPr>
            <w:r>
              <w:rPr>
                <w:b w:val="false"/>
                <w:bCs w:val="false"/>
                <w:color w:val="1B1F1D"/>
                <w:sz w:val="18"/>
                <w:szCs w:val="18"/>
              </w:rPr>
              <w:t xml:space="preserve">Auth default</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Magic link vs. Google-first</w:t>
            </w:r>
          </w:p>
        </w:tc>
        <w:tc>
          <w:tcPr>
            <w:tcW w:type="dxa" w:w="3560"/>
            <w:tcMar>
              <w:top w:type="dxa" w:w="70"/>
              <w:left w:type="dxa" w:w="110"/>
              <w:bottom w:type="dxa" w:w="70"/>
              <w:right w:type="dxa" w:w="110"/>
            </w:tcMar>
          </w:tcPr>
          <w:p>
            <w:pPr>
              <w:spacing w:after="0"/>
            </w:pPr>
            <w:r>
              <w:rPr>
                <w:b w:val="false"/>
                <w:bCs w:val="false"/>
                <w:color w:val="1B1F1D"/>
                <w:sz w:val="18"/>
                <w:szCs w:val="18"/>
              </w:rPr>
              <w:t xml:space="preserve">Magic link primary, Google secondary (older demographic skews email)</w:t>
            </w:r>
          </w:p>
        </w:tc>
        <w:tc>
          <w:tcPr>
            <w:tcW w:type="dxa" w:w="1800"/>
            <w:tcMar>
              <w:top w:type="dxa" w:w="70"/>
              <w:left w:type="dxa" w:w="110"/>
              <w:bottom w:type="dxa" w:w="70"/>
              <w:right w:type="dxa" w:w="110"/>
            </w:tcMar>
          </w:tcPr>
          <w:p>
            <w:pPr>
              <w:spacing w:after="0"/>
            </w:pPr>
            <w:r>
              <w:rPr>
                <w:b w:val="false"/>
                <w:bCs w:val="false"/>
                <w:color w:val="1B1F1D"/>
                <w:sz w:val="18"/>
                <w:szCs w:val="18"/>
              </w:rPr>
              <w:t xml:space="preserve">Founder / M1</w:t>
            </w:r>
          </w:p>
        </w:tc>
      </w:tr>
      <w:tr>
        <w:tc>
          <w:tcPr>
            <w:tcW w:type="dxa" w:w="1700"/>
            <w:tcMar>
              <w:top w:type="dxa" w:w="70"/>
              <w:left w:type="dxa" w:w="110"/>
              <w:bottom w:type="dxa" w:w="70"/>
              <w:right w:type="dxa" w:w="110"/>
            </w:tcMar>
          </w:tcPr>
          <w:p>
            <w:pPr>
              <w:spacing w:after="0"/>
            </w:pPr>
            <w:r>
              <w:rPr>
                <w:b w:val="false"/>
                <w:bCs w:val="false"/>
                <w:color w:val="1B1F1D"/>
                <w:sz w:val="18"/>
                <w:szCs w:val="18"/>
              </w:rPr>
              <w:t xml:space="preserve">Name</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WholeClaim pending clearance</w:t>
            </w:r>
          </w:p>
        </w:tc>
        <w:tc>
          <w:tcPr>
            <w:tcW w:type="dxa" w:w="3560"/>
            <w:tcMar>
              <w:top w:type="dxa" w:w="70"/>
              <w:left w:type="dxa" w:w="110"/>
              <w:bottom w:type="dxa" w:w="70"/>
              <w:right w:type="dxa" w:w="110"/>
            </w:tcMar>
          </w:tcPr>
          <w:p>
            <w:pPr>
              <w:spacing w:after="0"/>
            </w:pPr>
            <w:r>
              <w:rPr>
                <w:b w:val="false"/>
                <w:bCs w:val="false"/>
                <w:color w:val="1B1F1D"/>
                <w:sz w:val="18"/>
                <w:szCs w:val="18"/>
              </w:rPr>
              <w:t xml:space="preserve">Proceed as working brand; spend gated on Vol. I §1.9</w:t>
            </w:r>
          </w:p>
        </w:tc>
        <w:tc>
          <w:tcPr>
            <w:tcW w:type="dxa" w:w="1800"/>
            <w:tcMar>
              <w:top w:type="dxa" w:w="70"/>
              <w:left w:type="dxa" w:w="110"/>
              <w:bottom w:type="dxa" w:w="70"/>
              <w:right w:type="dxa" w:w="110"/>
            </w:tcMar>
          </w:tcPr>
          <w:p>
            <w:pPr>
              <w:spacing w:after="0"/>
            </w:pPr>
            <w:r>
              <w:rPr>
                <w:b w:val="false"/>
                <w:bCs w:val="false"/>
                <w:color w:val="1B1F1D"/>
                <w:sz w:val="18"/>
                <w:szCs w:val="18"/>
              </w:rPr>
              <w:t xml:space="preserve">Attorney / before filing</w:t>
            </w:r>
          </w:p>
        </w:tc>
      </w:tr>
    </w:tbl>
    <w:p>
      <w:r>
        <w:br w:type="page"/>
      </w:r>
    </w:p>
    <w:p>
      <w:pPr>
        <w:pStyle w:val="Heading1"/>
        <w:spacing w:after="160" w:before="240"/>
      </w:pPr>
      <w:r>
        <w:t xml:space="preserve">Volume III — Design System (Summary)</w:t>
      </w:r>
    </w:p>
    <w:p>
      <w:pPr>
        <w:spacing w:after="120"/>
      </w:pPr>
      <w:r>
        <w:rPr>
          <w:b w:val="false"/>
          <w:bCs w:val="false"/>
          <w:i/>
          <w:iCs/>
          <w:color w:val="63665F"/>
          <w:sz w:val="21"/>
          <w:szCs w:val="21"/>
        </w:rPr>
        <w:t xml:space="preserve">Living canonical source: wholeclaim-design-system.jsx (renders every token and component). This volume records the philosophy and the locked values.</w:t>
      </w:r>
    </w:p>
    <w:p>
      <w:pPr>
        <w:pStyle w:val="Heading2"/>
        <w:spacing w:after="120" w:before="200"/>
      </w:pPr>
      <w:r>
        <w:t xml:space="preserve">3.1 Design Philosophy</w:t>
      </w:r>
    </w:p>
    <w:p>
      <w:pPr>
        <w:spacing w:after="120"/>
      </w:pPr>
      <w:r>
        <w:rPr>
          <w:b w:val="false"/>
          <w:bCs w:val="false"/>
          <w:i w:val="false"/>
          <w:iCs w:val="false"/>
          <w:color w:val="1B1F1D"/>
          <w:sz w:val="21"/>
          <w:szCs w:val="21"/>
        </w:rPr>
        <w:t xml:space="preserve">A premium financial instrument wearing case-file clothes: clean, structured, calm, information-dense, minimal decoration, fast. The vernacular is the physical case file — exhibit tabs, date stamps, ledger data, redaction bars — executed with the restraint of a banking app. Every screen answers “what should I do next?” Dark mode is a future item, not v1.0.</w:t>
      </w:r>
    </w:p>
    <w:p>
      <w:pPr>
        <w:pStyle w:val="Heading2"/>
        <w:spacing w:after="120" w:before="200"/>
      </w:pPr>
      <w:r>
        <w:t xml:space="preserve">3.2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E4EBE6" w:val="clear"/>
            <w:tcMar>
              <w:top w:type="dxa" w:w="70"/>
              <w:left w:type="dxa" w:w="110"/>
              <w:bottom w:type="dxa" w:w="70"/>
              <w:right w:type="dxa" w:w="110"/>
            </w:tcMar>
          </w:tcPr>
          <w:p>
            <w:pPr>
              <w:spacing w:after="0"/>
            </w:pPr>
            <w:r>
              <w:rPr>
                <w:b/>
                <w:bCs/>
                <w:color w:val="1B1F1D"/>
                <w:sz w:val="18"/>
                <w:szCs w:val="18"/>
              </w:rPr>
              <w:t xml:space="preserve">Token</w:t>
            </w:r>
          </w:p>
        </w:tc>
        <w:tc>
          <w:tcPr>
            <w:tcW w:type="dxa" w:w="1400"/>
            <w:shd w:fill="E4EBE6" w:val="clear"/>
            <w:tcMar>
              <w:top w:type="dxa" w:w="70"/>
              <w:left w:type="dxa" w:w="110"/>
              <w:bottom w:type="dxa" w:w="70"/>
              <w:right w:type="dxa" w:w="110"/>
            </w:tcMar>
          </w:tcPr>
          <w:p>
            <w:pPr>
              <w:spacing w:after="0"/>
            </w:pPr>
            <w:r>
              <w:rPr>
                <w:b/>
                <w:bCs/>
                <w:color w:val="1B1F1D"/>
                <w:sz w:val="18"/>
                <w:szCs w:val="18"/>
              </w:rPr>
              <w:t xml:space="preserve">Hex</w:t>
            </w:r>
          </w:p>
        </w:tc>
        <w:tc>
          <w:tcPr>
            <w:tcW w:type="dxa" w:w="5360"/>
            <w:shd w:fill="E4EBE6" w:val="clear"/>
            <w:tcMar>
              <w:top w:type="dxa" w:w="70"/>
              <w:left w:type="dxa" w:w="110"/>
              <w:bottom w:type="dxa" w:w="70"/>
              <w:right w:type="dxa" w:w="110"/>
            </w:tcMar>
          </w:tcPr>
          <w:p>
            <w:pPr>
              <w:spacing w:after="0"/>
            </w:pPr>
            <w:r>
              <w:rPr>
                <w:b/>
                <w:bCs/>
                <w:color w:val="1B1F1D"/>
                <w:sz w:val="18"/>
                <w:szCs w:val="18"/>
              </w:rPr>
              <w:t xml:space="preserve">Role</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Ledger Green</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#1E4B3C</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Brand, primary actions, active states</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Green Soft</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#E4EBE6</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Positive / selected fills</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Ink</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#1B1F1D</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Primary text, wordmark</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Paper</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#F2F1EC</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Background canvas</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Surface</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#FBFAF7</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Cards and panels</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Rule</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#D7D4CA</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1px borders everywhere</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Muted Text</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#63665F</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Secondary text (AA-corrected)</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Stamp Red</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#A32C1C</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Urgency and destructive only — meaning, never decoration</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Red Soft</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#F4E3DF</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Urgent fills</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Brass Amber</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#8A6D2F</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Amber borders, icons, fills</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Amber Text</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#6E5A24</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Any amber text incl. stamps (derived to pass AA)</w:t>
            </w:r>
          </w:p>
        </w:tc>
      </w:tr>
      <w:tr>
        <w:tc>
          <w:tcPr>
            <w:tcW w:type="dxa" w:w="2600"/>
            <w:tcMar>
              <w:top w:type="dxa" w:w="70"/>
              <w:left w:type="dxa" w:w="110"/>
              <w:bottom w:type="dxa" w:w="70"/>
              <w:right w:type="dxa" w:w="110"/>
            </w:tcMar>
          </w:tcPr>
          <w:p>
            <w:pPr>
              <w:spacing w:after="0"/>
            </w:pPr>
            <w:r>
              <w:rPr>
                <w:b w:val="false"/>
                <w:bCs w:val="false"/>
                <w:color w:val="1B1F1D"/>
                <w:sz w:val="18"/>
                <w:szCs w:val="18"/>
              </w:rPr>
              <w:t xml:space="preserve">Amber Soft</w:t>
            </w:r>
          </w:p>
        </w:tc>
        <w:tc>
          <w:tcPr>
            <w:tcW w:type="dxa" w:w="1400"/>
            <w:tcMar>
              <w:top w:type="dxa" w:w="70"/>
              <w:left w:type="dxa" w:w="110"/>
              <w:bottom w:type="dxa" w:w="70"/>
              <w:right w:type="dxa" w:w="110"/>
            </w:tcMar>
          </w:tcPr>
          <w:p>
            <w:pPr>
              <w:spacing w:after="0"/>
            </w:pPr>
            <w:r>
              <w:rPr>
                <w:b w:val="false"/>
                <w:bCs w:val="false"/>
                <w:color w:val="1B1F1D"/>
                <w:sz w:val="18"/>
                <w:szCs w:val="18"/>
              </w:rPr>
              <w:t xml:space="preserve">#F0E9D8</w:t>
            </w:r>
          </w:p>
        </w:tc>
        <w:tc>
          <w:tcPr>
            <w:tcW w:type="dxa" w:w="5360"/>
            <w:tcMar>
              <w:top w:type="dxa" w:w="70"/>
              <w:left w:type="dxa" w:w="110"/>
              <w:bottom w:type="dxa" w:w="70"/>
              <w:right w:type="dxa" w:w="110"/>
            </w:tcMar>
          </w:tcPr>
          <w:p>
            <w:pPr>
              <w:spacing w:after="0"/>
            </w:pPr>
            <w:r>
              <w:rPr>
                <w:b w:val="false"/>
                <w:bCs w:val="false"/>
                <w:color w:val="1B1F1D"/>
                <w:sz w:val="18"/>
                <w:szCs w:val="18"/>
              </w:rPr>
              <w:t xml:space="preserve">Pending fills</w:t>
            </w:r>
          </w:p>
        </w:tc>
      </w:tr>
    </w:tbl>
    <w:p>
      <w:pPr>
        <w:spacing w:after="120"/>
      </w:pPr>
      <w:r>
        <w:rPr>
          <w:b w:val="false"/>
          <w:bCs w:val="false"/>
          <w:i w:val="false"/>
          <w:iCs w:val="false"/>
          <w:color w:val="1B1F1D"/>
          <w:sz w:val="21"/>
          <w:szCs w:val="21"/>
        </w:rPr>
        <w:t xml:space="preserve"/>
      </w:r>
    </w:p>
    <w:p>
      <w:pPr>
        <w:pStyle w:val="Heading2"/>
        <w:spacing w:after="120" w:before="200"/>
      </w:pPr>
      <w:r>
        <w:t xml:space="preserve">3.3 Measured Contrast (WCAG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460"/>
      </w:tblGrid>
      <w:tr>
        <w:trPr>
          <w:tblHeader/>
        </w:trPr>
        <w:tc>
          <w:tcPr>
            <w:tcW w:type="dxa" w:w="4600"/>
            <w:shd w:fill="E4EBE6" w:val="clear"/>
            <w:tcMar>
              <w:top w:type="dxa" w:w="70"/>
              <w:left w:type="dxa" w:w="110"/>
              <w:bottom w:type="dxa" w:w="70"/>
              <w:right w:type="dxa" w:w="110"/>
            </w:tcMar>
          </w:tcPr>
          <w:p>
            <w:pPr>
              <w:spacing w:after="0"/>
            </w:pPr>
            <w:r>
              <w:rPr>
                <w:b/>
                <w:bCs/>
                <w:color w:val="1B1F1D"/>
                <w:sz w:val="18"/>
                <w:szCs w:val="18"/>
              </w:rPr>
              <w:t xml:space="preserve">Pair</w:t>
            </w:r>
          </w:p>
        </w:tc>
        <w:tc>
          <w:tcPr>
            <w:tcW w:type="dxa" w:w="2300"/>
            <w:shd w:fill="E4EBE6" w:val="clear"/>
            <w:tcMar>
              <w:top w:type="dxa" w:w="70"/>
              <w:left w:type="dxa" w:w="110"/>
              <w:bottom w:type="dxa" w:w="70"/>
              <w:right w:type="dxa" w:w="110"/>
            </w:tcMar>
          </w:tcPr>
          <w:p>
            <w:pPr>
              <w:spacing w:after="0"/>
            </w:pPr>
            <w:r>
              <w:rPr>
                <w:b/>
                <w:bCs/>
                <w:color w:val="1B1F1D"/>
                <w:sz w:val="18"/>
                <w:szCs w:val="18"/>
              </w:rPr>
              <w:t xml:space="preserve">Ratio</w:t>
            </w:r>
          </w:p>
        </w:tc>
        <w:tc>
          <w:tcPr>
            <w:tcW w:type="dxa" w:w="2460"/>
            <w:shd w:fill="E4EBE6" w:val="clear"/>
            <w:tcMar>
              <w:top w:type="dxa" w:w="70"/>
              <w:left w:type="dxa" w:w="110"/>
              <w:bottom w:type="dxa" w:w="70"/>
              <w:right w:type="dxa" w:w="110"/>
            </w:tcMar>
          </w:tcPr>
          <w:p>
            <w:pPr>
              <w:spacing w:after="0"/>
            </w:pPr>
            <w:r>
              <w:rPr>
                <w:b/>
                <w:bCs/>
                <w:color w:val="1B1F1D"/>
                <w:sz w:val="18"/>
                <w:szCs w:val="18"/>
              </w:rPr>
              <w:t xml:space="preserve">Grade</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Ink on Paper</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14.73:1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Ink on Surface</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15.96:1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Green on Paper</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8.73:1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Button text on Green</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8.95:1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Green on Green Soft</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8.15:1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Red on Paper</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6.33:1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Amber Text on Amber Soft</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5.51:1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w:t>
            </w:r>
          </w:p>
        </w:tc>
      </w:tr>
      <w:tr>
        <w:tc>
          <w:tcPr>
            <w:tcW w:type="dxa" w:w="4600"/>
            <w:tcMar>
              <w:top w:type="dxa" w:w="70"/>
              <w:left w:type="dxa" w:w="110"/>
              <w:bottom w:type="dxa" w:w="70"/>
              <w:right w:type="dxa" w:w="110"/>
            </w:tcMar>
          </w:tcPr>
          <w:p>
            <w:pPr>
              <w:spacing w:after="0"/>
            </w:pPr>
            <w:r>
              <w:rPr>
                <w:b w:val="false"/>
                <w:bCs w:val="false"/>
                <w:color w:val="1B1F1D"/>
                <w:sz w:val="18"/>
                <w:szCs w:val="18"/>
              </w:rPr>
              <w:t xml:space="preserve">Muted Text on Paper</w:t>
            </w:r>
          </w:p>
        </w:tc>
        <w:tc>
          <w:tcPr>
            <w:tcW w:type="dxa" w:w="2300"/>
            <w:tcMar>
              <w:top w:type="dxa" w:w="70"/>
              <w:left w:type="dxa" w:w="110"/>
              <w:bottom w:type="dxa" w:w="70"/>
              <w:right w:type="dxa" w:w="110"/>
            </w:tcMar>
          </w:tcPr>
          <w:p>
            <w:pPr>
              <w:spacing w:after="0"/>
            </w:pPr>
            <w:r>
              <w:rPr>
                <w:b w:val="false"/>
                <w:bCs w:val="false"/>
                <w:color w:val="1B1F1D"/>
                <w:sz w:val="18"/>
                <w:szCs w:val="18"/>
              </w:rPr>
              <w:t xml:space="preserve">5.16:1</w:t>
            </w:r>
          </w:p>
        </w:tc>
        <w:tc>
          <w:tcPr>
            <w:tcW w:type="dxa" w:w="2460"/>
            <w:tcMar>
              <w:top w:type="dxa" w:w="70"/>
              <w:left w:type="dxa" w:w="110"/>
              <w:bottom w:type="dxa" w:w="70"/>
              <w:right w:type="dxa" w:w="110"/>
            </w:tcMar>
          </w:tcPr>
          <w:p>
            <w:pPr>
              <w:spacing w:after="0"/>
            </w:pPr>
            <w:r>
              <w:rPr>
                <w:b w:val="false"/>
                <w:bCs w:val="false"/>
                <w:color w:val="1B1F1D"/>
                <w:sz w:val="18"/>
                <w:szCs w:val="18"/>
              </w:rPr>
              <w:t xml:space="preserve">AA</w:t>
            </w:r>
          </w:p>
        </w:tc>
      </w:tr>
    </w:tbl>
    <w:p>
      <w:pPr>
        <w:spacing w:after="120"/>
      </w:pPr>
      <w:r>
        <w:rPr>
          <w:b w:val="false"/>
          <w:bCs w:val="false"/>
          <w:i w:val="false"/>
          <w:iCs w:val="false"/>
          <w:color w:val="1B1F1D"/>
          <w:sz w:val="21"/>
          <w:szCs w:val="21"/>
        </w:rPr>
        <w:t xml:space="preserve"/>
      </w:r>
    </w:p>
    <w:p>
      <w:pPr>
        <w:spacing w:after="120"/>
      </w:pPr>
      <w:r>
        <w:rPr>
          <w:b w:val="false"/>
          <w:bCs w:val="false"/>
          <w:i w:val="false"/>
          <w:iCs w:val="false"/>
          <w:color w:val="1B1F1D"/>
          <w:sz w:val="21"/>
          <w:szCs w:val="21"/>
        </w:rPr>
        <w:t xml:space="preserve">Retired from text duty: #6E7069 (4.44:1) and #8A6D2F-as-text (4.31:1). All shipping text pairs meet AA; core reading pairs are AAA.</w:t>
      </w:r>
    </w:p>
    <w:p>
      <w:pPr>
        <w:pStyle w:val="Heading2"/>
        <w:spacing w:after="120" w:before="200"/>
      </w:pPr>
      <w:r>
        <w:t xml:space="preserve">3.4 Typography &amp; Components</w:t>
      </w:r>
    </w:p>
    <w:p>
      <w:pPr>
        <w:pStyle w:val="ListParagraph"/>
        <w:numPr>
          <w:ilvl w:val="0"/>
          <w:numId w:val="2"/>
        </w:numPr>
        <w:spacing w:after="60"/>
      </w:pPr>
      <w:r>
        <w:rPr>
          <w:b w:val="false"/>
          <w:bCs w:val="false"/>
          <w:color w:val="1B1F1D"/>
          <w:sz w:val="21"/>
          <w:szCs w:val="21"/>
        </w:rPr>
        <w:t xml:space="preserve">Archivo 600–800 — display, wordmark, uppercase headers and tab labels.</w:t>
      </w:r>
    </w:p>
    <w:p>
      <w:pPr>
        <w:pStyle w:val="ListParagraph"/>
        <w:numPr>
          <w:ilvl w:val="0"/>
          <w:numId w:val="2"/>
        </w:numPr>
        <w:spacing w:after="60"/>
      </w:pPr>
      <w:r>
        <w:rPr>
          <w:b w:val="false"/>
          <w:bCs w:val="false"/>
          <w:color w:val="1B1F1D"/>
          <w:sz w:val="21"/>
          <w:szCs w:val="21"/>
        </w:rPr>
        <w:t xml:space="preserve">Public Sans 400–600 — UI and body. IBM Plex Mono 400–600 — mandatory for claim numbers, dates, dollars, scores, countdowns.</w:t>
      </w:r>
    </w:p>
    <w:p>
      <w:pPr>
        <w:pStyle w:val="ListParagraph"/>
        <w:numPr>
          <w:ilvl w:val="0"/>
          <w:numId w:val="2"/>
        </w:numPr>
        <w:spacing w:after="60"/>
      </w:pPr>
      <w:r>
        <w:rPr>
          <w:b w:val="false"/>
          <w:bCs w:val="false"/>
          <w:color w:val="1B1F1D"/>
          <w:sz w:val="21"/>
          <w:szCs w:val="21"/>
        </w:rPr>
        <w:t xml:space="preserve">Component inventory (built): exhibit tabs, stamps, evidence chips, buttons (primary/secondary/destructive), forms, entry cards, deadline rows, health module, next-action banner, checklist rows, output panel, timeline, social post templates.</w:t>
      </w:r>
    </w:p>
    <w:p>
      <w:pPr>
        <w:pStyle w:val="ListParagraph"/>
        <w:numPr>
          <w:ilvl w:val="0"/>
          <w:numId w:val="2"/>
        </w:numPr>
        <w:spacing w:after="60"/>
      </w:pPr>
      <w:r>
        <w:rPr>
          <w:b w:val="false"/>
          <w:bCs w:val="false"/>
          <w:color w:val="1B1F1D"/>
          <w:sz w:val="21"/>
          <w:szCs w:val="21"/>
        </w:rPr>
        <w:t xml:space="preserve">Logo: the Tab Seal — folder tab holding a completed circle; variants and rules per concept sheet; final vectors post-clearance.</w:t>
      </w:r>
    </w:p>
    <w:p>
      <w:r>
        <w:br w:type="page"/>
      </w:r>
    </w:p>
    <w:p>
      <w:pPr>
        <w:pStyle w:val="Heading1"/>
        <w:spacing w:after="160" w:before="240"/>
      </w:pPr>
      <w:r>
        <w:t xml:space="preserve">Volume IV — Engineering Architecture (Summary)</w:t>
      </w:r>
    </w:p>
    <w:p>
      <w:pPr>
        <w:spacing w:after="120"/>
      </w:pPr>
      <w:r>
        <w:rPr>
          <w:b w:val="false"/>
          <w:bCs w:val="false"/>
          <w:i/>
          <w:iCs/>
          <w:color w:val="63665F"/>
          <w:sz w:val="21"/>
          <w:szCs w:val="21"/>
        </w:rPr>
        <w:t xml:space="preserve">Canonical source: wholeclaim-production-build-brief.md — hand it to Claude Code with the design system and app prototype. This volume records the decisions.</w:t>
      </w:r>
    </w:p>
    <w:p>
      <w:pPr>
        <w:pStyle w:val="Heading2"/>
        <w:spacing w:after="120" w:before="200"/>
      </w:pPr>
      <w:r>
        <w:t xml:space="preserve">4.1 Stack (locked)</w:t>
      </w:r>
    </w:p>
    <w:p>
      <w:pPr>
        <w:spacing w:after="120"/>
      </w:pPr>
      <w:r>
        <w:rPr>
          <w:b w:val="false"/>
          <w:bCs w:val="false"/>
          <w:i w:val="false"/>
          <w:iCs w:val="false"/>
          <w:color w:val="1B1F1D"/>
          <w:sz w:val="21"/>
          <w:szCs w:val="21"/>
        </w:rPr>
        <w:t xml:space="preserve">Next.js (App Router, TypeScript) · Tailwind with design tokens · Supabase (Postgres + Auth + Storage + RLS) · Vercel · Stripe · Anthropic API server-side (claude-sonnet-4-6) · Resend · PWA with web push.</w:t>
      </w:r>
    </w:p>
    <w:p>
      <w:pPr>
        <w:pStyle w:val="Heading2"/>
        <w:spacing w:after="120" w:before="200"/>
      </w:pPr>
      <w:r>
        <w:t xml:space="preserve">4.2 Data Model</w:t>
      </w:r>
    </w:p>
    <w:p>
      <w:pPr>
        <w:spacing w:after="120"/>
      </w:pPr>
      <w:r>
        <w:rPr>
          <w:b w:val="false"/>
          <w:bCs w:val="false"/>
          <w:i w:val="false"/>
          <w:iCs w:val="false"/>
          <w:color w:val="1B1F1D"/>
          <w:sz w:val="21"/>
          <w:szCs w:val="21"/>
        </w:rPr>
        <w:t xml:space="preserve">profiles · claims · entries · deadlines · evidence_items · files · library_entries (owner_id null = global curated) · ai_runs (full AI audit log) · leads. Row Level Security on every table; failing-access tests required per table.</w:t>
      </w:r>
    </w:p>
    <w:p>
      <w:pPr>
        <w:pStyle w:val="Heading2"/>
        <w:spacing w:after="120" w:before="200"/>
      </w:pPr>
      <w:r>
        <w:t xml:space="preserve">4.3 Non-Negotiable Security Rules</w:t>
      </w:r>
    </w:p>
    <w:p>
      <w:pPr>
        <w:pStyle w:val="ListParagraph"/>
        <w:numPr>
          <w:ilvl w:val="0"/>
          <w:numId w:val="3"/>
        </w:numPr>
        <w:spacing w:after="60"/>
      </w:pPr>
      <w:r>
        <w:rPr>
          <w:color w:val="1B1F1D"/>
          <w:sz w:val="21"/>
          <w:szCs w:val="21"/>
        </w:rPr>
        <w:t xml:space="preserve">The Anthropic API key exists only server-side; its presence in a client bundle fails the build review.</w:t>
      </w:r>
    </w:p>
    <w:p>
      <w:pPr>
        <w:pStyle w:val="ListParagraph"/>
        <w:numPr>
          <w:ilvl w:val="0"/>
          <w:numId w:val="3"/>
        </w:numPr>
        <w:spacing w:after="60"/>
      </w:pPr>
      <w:r>
        <w:rPr>
          <w:color w:val="1B1F1D"/>
          <w:sz w:val="21"/>
          <w:szCs w:val="21"/>
        </w:rPr>
        <w:t xml:space="preserve">Every AI route: authenticate → plan gate → rate limit (per user and per IP) → prompt → log to ai_runs.</w:t>
      </w:r>
    </w:p>
    <w:p>
      <w:pPr>
        <w:pStyle w:val="ListParagraph"/>
        <w:numPr>
          <w:ilvl w:val="0"/>
          <w:numId w:val="3"/>
        </w:numPr>
        <w:spacing w:after="60"/>
      </w:pPr>
      <w:r>
        <w:rPr>
          <w:color w:val="1B1F1D"/>
          <w:sz w:val="21"/>
          <w:szCs w:val="21"/>
        </w:rPr>
        <w:t xml:space="preserve">No claim content in analytics or logs.</w:t>
      </w:r>
    </w:p>
    <w:p>
      <w:pPr>
        <w:pStyle w:val="ListParagraph"/>
        <w:numPr>
          <w:ilvl w:val="0"/>
          <w:numId w:val="3"/>
        </w:numPr>
        <w:spacing w:after="60"/>
      </w:pPr>
      <w:r>
        <w:rPr>
          <w:color w:val="1B1F1D"/>
          <w:sz w:val="21"/>
          <w:szCs w:val="21"/>
        </w:rPr>
        <w:t xml:space="preserve">Account deletion and data export are self-serve endpoints.</w:t>
      </w:r>
    </w:p>
    <w:p>
      <w:pPr>
        <w:pStyle w:val="Heading2"/>
        <w:spacing w:after="120" w:before="200"/>
      </w:pPr>
      <w:r>
        <w:t xml:space="preserve">4.4 Milestones</w:t>
      </w:r>
    </w:p>
    <w:p>
      <w:pPr>
        <w:spacing w:after="120"/>
      </w:pPr>
      <w:r>
        <w:rPr>
          <w:b w:val="false"/>
          <w:bCs w:val="false"/>
          <w:i w:val="false"/>
          <w:iCs w:val="false"/>
          <w:color w:val="1B1F1D"/>
          <w:sz w:val="21"/>
          <w:szCs w:val="21"/>
        </w:rPr>
        <w:t xml:space="preserve">M1 scaffold + auth + binder CRUD with RLS · M2 AI routes with versioned prompts and library injection · M3 Stripe · M4 grader + legal pages + deletion/export · M5 Evidence Vault + PWA polish · M6 Test Run 02 gate. Commit each milestone.</w:t>
      </w:r>
    </w:p>
    <w:p>
      <w:pPr>
        <w:pStyle w:val="Heading2"/>
        <w:spacing w:after="120" w:before="200"/>
      </w:pPr>
      <w:r>
        <w:t xml:space="preserve">4.5 Running Costs (order of magnitude)</w:t>
      </w:r>
    </w:p>
    <w:p>
      <w:pPr>
        <w:spacing w:after="120"/>
      </w:pPr>
      <w:r>
        <w:rPr>
          <w:b w:val="false"/>
          <w:bCs w:val="false"/>
          <w:i w:val="false"/>
          <w:iCs w:val="false"/>
          <w:color w:val="1B1F1D"/>
          <w:sz w:val="21"/>
          <w:szCs w:val="21"/>
        </w:rPr>
        <w:t xml:space="preserve">Domain ~$10–15/yr · Vercel free → ~$20/mo · Supabase free → ~$25/mo · Anthropic API usage-based with a monthly budget cap and alerts · Stripe ~2.9% + 30¢ · later: Apple $99/yr, Google Play $25 once.</w:t>
      </w:r>
    </w:p>
    <w:p>
      <w:r>
        <w:br w:type="page"/>
      </w:r>
    </w:p>
    <w:p>
      <w:pPr>
        <w:pStyle w:val="Heading1"/>
        <w:spacing w:after="160" w:before="240"/>
      </w:pPr>
      <w:r>
        <w:t xml:space="preserve">Volume V — Marketing Playbook (Essentials)</w:t>
      </w:r>
    </w:p>
    <w:p>
      <w:pPr>
        <w:pStyle w:val="Heading2"/>
        <w:spacing w:after="120" w:before="200"/>
      </w:pPr>
      <w:r>
        <w:t xml:space="preserve">5.1 Funnel</w:t>
      </w:r>
    </w:p>
    <w:p>
      <w:pPr>
        <w:spacing w:after="120"/>
      </w:pPr>
      <w:r>
        <w:rPr>
          <w:b w:val="false"/>
          <w:bCs w:val="false"/>
          <w:i w:val="false"/>
          <w:iCs w:val="false"/>
          <w:color w:val="1B1F1D"/>
          <w:sz w:val="21"/>
          <w:szCs w:val="21"/>
        </w:rPr>
        <w:t xml:space="preserve">Threads prompt-format content → bio link → free Claim Grade (lead + grade tag) → results email sequence (Day 0 results + one fix; Day 2 the $40K→$125K story; Day 5 the occurrence-counting story + product; Day 9 last call) → Pro at the paywall moment (first Analyze or Letter attempt).</w:t>
      </w:r>
    </w:p>
    <w:p>
      <w:pPr>
        <w:pStyle w:val="Heading2"/>
        <w:spacing w:after="120" w:before="200"/>
      </w:pPr>
      <w:r>
        <w:t xml:space="preserve">5.2 The Story Numbers (feed register)</w:t>
      </w:r>
    </w:p>
    <w:p>
      <w:pPr>
        <w:pStyle w:val="ListParagraph"/>
        <w:numPr>
          <w:ilvl w:val="0"/>
          <w:numId w:val="2"/>
        </w:numPr>
        <w:spacing w:after="60"/>
      </w:pPr>
      <w:r>
        <w:rPr>
          <w:b w:val="false"/>
          <w:bCs w:val="false"/>
          <w:color w:val="1B1F1D"/>
          <w:sz w:val="21"/>
          <w:szCs w:val="21"/>
        </w:rPr>
        <w:t xml:space="preserve">Hero: “My first claim opened at $40,000. The file I built closed it past $125,000. Not a lawyer. Not an adjuster. Documentation.”</w:t>
      </w:r>
    </w:p>
    <w:p>
      <w:pPr>
        <w:pStyle w:val="ListParagraph"/>
        <w:numPr>
          <w:ilvl w:val="0"/>
          <w:numId w:val="2"/>
        </w:numPr>
        <w:spacing w:after="60"/>
      </w:pPr>
      <w:r>
        <w:rPr>
          <w:b w:val="false"/>
          <w:bCs w:val="false"/>
          <w:color w:val="1B1F1D"/>
          <w:sz w:val="21"/>
          <w:szCs w:val="21"/>
        </w:rPr>
        <w:t xml:space="preserve">Receipt caption: “First payment: $40K. Final, after supplements: $125K+. Same damage. Different file.”</w:t>
      </w:r>
    </w:p>
    <w:p>
      <w:pPr>
        <w:pStyle w:val="ListParagraph"/>
        <w:numPr>
          <w:ilvl w:val="0"/>
          <w:numId w:val="2"/>
        </w:numPr>
        <w:spacing w:after="60"/>
      </w:pPr>
      <w:r>
        <w:rPr>
          <w:b w:val="false"/>
          <w:bCs w:val="false"/>
          <w:color w:val="1B1F1D"/>
          <w:sz w:val="21"/>
          <w:szCs w:val="21"/>
        </w:rPr>
        <w:t xml:space="preserve">Required tail on ads: “A documented individual result. WholeClaim doesn't promise outcomes — it organizes evidence.”</w:t>
      </w:r>
    </w:p>
    <w:p>
      <w:pPr>
        <w:pStyle w:val="Heading2"/>
        <w:spacing w:after="120" w:before="200"/>
      </w:pPr>
      <w:r>
        <w:t xml:space="preserve">5.3 Cadence &amp; Guardrails</w:t>
      </w:r>
    </w:p>
    <w:p>
      <w:pPr>
        <w:pStyle w:val="ListParagraph"/>
        <w:numPr>
          <w:ilvl w:val="0"/>
          <w:numId w:val="2"/>
        </w:numPr>
        <w:spacing w:after="60"/>
      </w:pPr>
      <w:r>
        <w:rPr>
          <w:b w:val="false"/>
          <w:bCs w:val="false"/>
          <w:color w:val="1B1F1D"/>
          <w:sz w:val="21"/>
          <w:szCs w:val="21"/>
        </w:rPr>
        <w:t xml:space="preserve">Three prompt-format posts + one receipt post weekly; every advice-adjacent post ends with the hook and link.</w:t>
      </w:r>
    </w:p>
    <w:p>
      <w:pPr>
        <w:pStyle w:val="ListParagraph"/>
        <w:numPr>
          <w:ilvl w:val="0"/>
          <w:numId w:val="2"/>
        </w:numPr>
        <w:spacing w:after="60"/>
      </w:pPr>
      <w:r>
        <w:rPr>
          <w:b w:val="false"/>
          <w:bCs w:val="false"/>
          <w:color w:val="1B1F1D"/>
          <w:sz w:val="21"/>
          <w:szCs w:val="21"/>
        </w:rPr>
        <w:t xml:space="preserve">Litigation guardrail: no carrier names, case numbers, or filings from active matters; counsel reviews anything borderline.</w:t>
      </w:r>
    </w:p>
    <w:p>
      <w:pPr>
        <w:pStyle w:val="ListParagraph"/>
        <w:numPr>
          <w:ilvl w:val="0"/>
          <w:numId w:val="2"/>
        </w:numPr>
        <w:spacing w:after="60"/>
      </w:pPr>
      <w:r>
        <w:rPr>
          <w:b w:val="false"/>
          <w:bCs w:val="false"/>
          <w:color w:val="1B1F1D"/>
          <w:sz w:val="21"/>
          <w:szCs w:val="21"/>
        </w:rPr>
        <w:t xml:space="preserve">Banned claims per Volume I §1.4 apply to every channel, every time.</w:t>
      </w:r>
    </w:p>
    <w:p>
      <w:pPr>
        <w:pStyle w:val="Heading2"/>
        <w:spacing w:after="120" w:before="200"/>
      </w:pPr>
      <w:r>
        <w:t xml:space="preserve">5.4 Channel Order</w:t>
      </w:r>
    </w:p>
    <w:p>
      <w:pPr>
        <w:spacing w:after="120"/>
      </w:pPr>
      <w:r>
        <w:rPr>
          <w:b w:val="false"/>
          <w:bCs w:val="false"/>
          <w:i w:val="false"/>
          <w:iCs w:val="false"/>
          <w:color w:val="1B1F1D"/>
          <w:sz w:val="21"/>
          <w:szCs w:val="21"/>
        </w:rPr>
        <w:t xml:space="preserve">Threads first (proven format) → Instagram crosspost → Facebook page pin → SEO blog on documentation questions (post-launch) → TikTok/LinkedIn only after the first two compound. Press and Product Hunt belong to the Launch Playbook.</w:t>
      </w:r>
    </w:p>
    <w:p>
      <w:r>
        <w:br w:type="page"/>
      </w:r>
    </w:p>
    <w:p>
      <w:pPr>
        <w:pStyle w:val="Heading1"/>
        <w:spacing w:after="160" w:before="240"/>
      </w:pPr>
      <w:r>
        <w:t xml:space="preserve">Volume VII — Launch Playbook</w:t>
      </w:r>
    </w:p>
    <w:p>
      <w:pPr>
        <w:pStyle w:val="Heading2"/>
        <w:spacing w:after="120" w:before="200"/>
      </w:pPr>
      <w:r>
        <w:t xml:space="preserve">7.1 Order of Operations</w:t>
      </w:r>
    </w:p>
    <w:p>
      <w:pPr>
        <w:pStyle w:val="ListParagraph"/>
        <w:numPr>
          <w:ilvl w:val="0"/>
          <w:numId w:val="3"/>
        </w:numPr>
        <w:spacing w:after="60"/>
      </w:pPr>
      <w:r>
        <w:rPr>
          <w:color w:val="1B1F1D"/>
          <w:sz w:val="21"/>
          <w:szCs w:val="21"/>
        </w:rPr>
        <w:t xml:space="preserve">Name clearance → LLC + EIN + business bank (blocking; Volume I §1.9).</w:t>
      </w:r>
    </w:p>
    <w:p>
      <w:pPr>
        <w:pStyle w:val="ListParagraph"/>
        <w:numPr>
          <w:ilvl w:val="0"/>
          <w:numId w:val="3"/>
        </w:numPr>
        <w:spacing w:after="60"/>
      </w:pPr>
      <w:r>
        <w:rPr>
          <w:color w:val="1B1F1D"/>
          <w:sz w:val="21"/>
          <w:szCs w:val="21"/>
        </w:rPr>
        <w:t xml:space="preserve">Domain, Vercel, Supabase, Stripe, Anthropic Console — all under the new entity.</w:t>
      </w:r>
    </w:p>
    <w:p>
      <w:pPr>
        <w:pStyle w:val="ListParagraph"/>
        <w:numPr>
          <w:ilvl w:val="0"/>
          <w:numId w:val="3"/>
        </w:numPr>
        <w:spacing w:after="60"/>
      </w:pPr>
      <w:r>
        <w:rPr>
          <w:color w:val="1B1F1D"/>
          <w:sz w:val="21"/>
          <w:szCs w:val="21"/>
        </w:rPr>
        <w:t xml:space="preserve">Build M1–M6 with Claude Code per Volume IV.</w:t>
      </w:r>
    </w:p>
    <w:p>
      <w:pPr>
        <w:pStyle w:val="ListParagraph"/>
        <w:numPr>
          <w:ilvl w:val="0"/>
          <w:numId w:val="3"/>
        </w:numPr>
        <w:spacing w:after="60"/>
      </w:pPr>
      <w:r>
        <w:rPr>
          <w:color w:val="1B1F1D"/>
          <w:sz w:val="21"/>
          <w:szCs w:val="21"/>
        </w:rPr>
        <w:t xml:space="preserve">Test Run 02 passes (Volume II §2.8).</w:t>
      </w:r>
    </w:p>
    <w:p>
      <w:pPr>
        <w:pStyle w:val="ListParagraph"/>
        <w:numPr>
          <w:ilvl w:val="0"/>
          <w:numId w:val="3"/>
        </w:numPr>
        <w:spacing w:after="60"/>
      </w:pPr>
      <w:r>
        <w:rPr>
          <w:color w:val="1B1F1D"/>
          <w:sz w:val="21"/>
          <w:szCs w:val="21"/>
        </w:rPr>
        <w:t xml:space="preserve">Private beta: 10 users recruited from Threads, one week, structured interviews, fix list.</w:t>
      </w:r>
    </w:p>
    <w:p>
      <w:pPr>
        <w:pStyle w:val="ListParagraph"/>
        <w:numPr>
          <w:ilvl w:val="0"/>
          <w:numId w:val="3"/>
        </w:numPr>
        <w:spacing w:after="60"/>
      </w:pPr>
      <w:r>
        <w:rPr>
          <w:color w:val="1B1F1D"/>
          <w:sz w:val="21"/>
          <w:szCs w:val="21"/>
        </w:rPr>
        <w:t xml:space="preserve">Launch: grader as link-in-bio; thread anchor with the story numbers and the results-vary tail.</w:t>
      </w:r>
    </w:p>
    <w:p>
      <w:pPr>
        <w:pStyle w:val="Heading2"/>
        <w:spacing w:after="120" w:before="200"/>
      </w:pPr>
      <w:r>
        <w:t xml:space="preserve">7.2 The Three Viability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E4EBE6" w:val="clear"/>
            <w:tcMar>
              <w:top w:type="dxa" w:w="70"/>
              <w:left w:type="dxa" w:w="110"/>
              <w:bottom w:type="dxa" w:w="70"/>
              <w:right w:type="dxa" w:w="110"/>
            </w:tcMar>
          </w:tcPr>
          <w:p>
            <w:pPr>
              <w:spacing w:after="0"/>
            </w:pPr>
            <w:r>
              <w:rPr>
                <w:b/>
                <w:bCs/>
                <w:color w:val="1B1F1D"/>
                <w:sz w:val="18"/>
                <w:szCs w:val="18"/>
              </w:rPr>
              <w:t xml:space="preserve">Test</w:t>
            </w:r>
          </w:p>
        </w:tc>
        <w:tc>
          <w:tcPr>
            <w:tcW w:type="dxa" w:w="3400"/>
            <w:shd w:fill="E4EBE6" w:val="clear"/>
            <w:tcMar>
              <w:top w:type="dxa" w:w="70"/>
              <w:left w:type="dxa" w:w="110"/>
              <w:bottom w:type="dxa" w:w="70"/>
              <w:right w:type="dxa" w:w="110"/>
            </w:tcMar>
          </w:tcPr>
          <w:p>
            <w:pPr>
              <w:spacing w:after="0"/>
            </w:pPr>
            <w:r>
              <w:rPr>
                <w:b/>
                <w:bCs/>
                <w:color w:val="1B1F1D"/>
                <w:sz w:val="18"/>
                <w:szCs w:val="18"/>
              </w:rPr>
              <w:t xml:space="preserve">Measure</w:t>
            </w:r>
          </w:p>
        </w:tc>
        <w:tc>
          <w:tcPr>
            <w:tcW w:type="dxa" w:w="3760"/>
            <w:shd w:fill="E4EBE6" w:val="clear"/>
            <w:tcMar>
              <w:top w:type="dxa" w:w="70"/>
              <w:left w:type="dxa" w:w="110"/>
              <w:bottom w:type="dxa" w:w="70"/>
              <w:right w:type="dxa" w:w="110"/>
            </w:tcMar>
          </w:tcPr>
          <w:p>
            <w:pPr>
              <w:spacing w:after="0"/>
            </w:pPr>
            <w:r>
              <w:rPr>
                <w:b/>
                <w:bCs/>
                <w:color w:val="1B1F1D"/>
                <w:sz w:val="18"/>
                <w:szCs w:val="18"/>
              </w:rPr>
              <w:t xml:space="preserve">Pass looks like</w:t>
            </w:r>
          </w:p>
        </w:tc>
      </w:tr>
      <w:tr>
        <w:tc>
          <w:tcPr>
            <w:tcW w:type="dxa" w:w="2200"/>
            <w:tcMar>
              <w:top w:type="dxa" w:w="70"/>
              <w:left w:type="dxa" w:w="110"/>
              <w:bottom w:type="dxa" w:w="70"/>
              <w:right w:type="dxa" w:w="110"/>
            </w:tcMar>
          </w:tcPr>
          <w:p>
            <w:pPr>
              <w:spacing w:after="0"/>
            </w:pPr>
            <w:r>
              <w:rPr>
                <w:b w:val="false"/>
                <w:bCs w:val="false"/>
                <w:color w:val="1B1F1D"/>
                <w:sz w:val="18"/>
                <w:szCs w:val="18"/>
              </w:rPr>
              <w:t xml:space="preserve">Grader converts</w:t>
            </w:r>
          </w:p>
        </w:tc>
        <w:tc>
          <w:tcPr>
            <w:tcW w:type="dxa" w:w="3400"/>
            <w:tcMar>
              <w:top w:type="dxa" w:w="70"/>
              <w:left w:type="dxa" w:w="110"/>
              <w:bottom w:type="dxa" w:w="70"/>
              <w:right w:type="dxa" w:w="110"/>
            </w:tcMar>
          </w:tcPr>
          <w:p>
            <w:pPr>
              <w:spacing w:after="0"/>
            </w:pPr>
            <w:r>
              <w:rPr>
                <w:b w:val="false"/>
                <w:bCs w:val="false"/>
                <w:color w:val="1B1F1D"/>
                <w:sz w:val="18"/>
                <w:szCs w:val="18"/>
              </w:rPr>
              <w:t xml:space="preserve">Thread visitors → completed grades → emails</w:t>
            </w:r>
          </w:p>
        </w:tc>
        <w:tc>
          <w:tcPr>
            <w:tcW w:type="dxa" w:w="3760"/>
            <w:tcMar>
              <w:top w:type="dxa" w:w="70"/>
              <w:left w:type="dxa" w:w="110"/>
              <w:bottom w:type="dxa" w:w="70"/>
              <w:right w:type="dxa" w:w="110"/>
            </w:tcMar>
          </w:tcPr>
          <w:p>
            <w:pPr>
              <w:spacing w:after="0"/>
            </w:pPr>
            <w:r>
              <w:rPr>
                <w:b w:val="false"/>
                <w:bCs w:val="false"/>
                <w:color w:val="1B1F1D"/>
                <w:sz w:val="18"/>
                <w:szCs w:val="18"/>
              </w:rPr>
              <w:t xml:space="preserve">≥25% completion of started grades; email capture holding</w:t>
            </w:r>
          </w:p>
        </w:tc>
      </w:tr>
      <w:tr>
        <w:tc>
          <w:tcPr>
            <w:tcW w:type="dxa" w:w="2200"/>
            <w:tcMar>
              <w:top w:type="dxa" w:w="70"/>
              <w:left w:type="dxa" w:w="110"/>
              <w:bottom w:type="dxa" w:w="70"/>
              <w:right w:type="dxa" w:w="110"/>
            </w:tcMar>
          </w:tcPr>
          <w:p>
            <w:pPr>
              <w:spacing w:after="0"/>
            </w:pPr>
            <w:r>
              <w:rPr>
                <w:b w:val="false"/>
                <w:bCs w:val="false"/>
                <w:color w:val="1B1F1D"/>
                <w:sz w:val="18"/>
                <w:szCs w:val="18"/>
              </w:rPr>
              <w:t xml:space="preserve">Strangers pay</w:t>
            </w:r>
          </w:p>
        </w:tc>
        <w:tc>
          <w:tcPr>
            <w:tcW w:type="dxa" w:w="3400"/>
            <w:tcMar>
              <w:top w:type="dxa" w:w="70"/>
              <w:left w:type="dxa" w:w="110"/>
              <w:bottom w:type="dxa" w:w="70"/>
              <w:right w:type="dxa" w:w="110"/>
            </w:tcMar>
          </w:tcPr>
          <w:p>
            <w:pPr>
              <w:spacing w:after="0"/>
            </w:pPr>
            <w:r>
              <w:rPr>
                <w:b w:val="false"/>
                <w:bCs w:val="false"/>
                <w:color w:val="1B1F1D"/>
                <w:sz w:val="18"/>
                <w:szCs w:val="18"/>
              </w:rPr>
              <w:t xml:space="preserve">First 10 non-acquaintance Pro purchases</w:t>
            </w:r>
          </w:p>
        </w:tc>
        <w:tc>
          <w:tcPr>
            <w:tcW w:type="dxa" w:w="3760"/>
            <w:tcMar>
              <w:top w:type="dxa" w:w="70"/>
              <w:left w:type="dxa" w:w="110"/>
              <w:bottom w:type="dxa" w:w="70"/>
              <w:right w:type="dxa" w:w="110"/>
            </w:tcMar>
          </w:tcPr>
          <w:p>
            <w:pPr>
              <w:spacing w:after="0"/>
            </w:pPr>
            <w:r>
              <w:rPr>
                <w:b w:val="false"/>
                <w:bCs w:val="false"/>
                <w:color w:val="1B1F1D"/>
                <w:sz w:val="18"/>
                <w:szCs w:val="18"/>
              </w:rPr>
              <w:t xml:space="preserve">10 paid within 30 days of launch at either price point</w:t>
            </w:r>
          </w:p>
        </w:tc>
      </w:tr>
      <w:tr>
        <w:tc>
          <w:tcPr>
            <w:tcW w:type="dxa" w:w="2200"/>
            <w:tcMar>
              <w:top w:type="dxa" w:w="70"/>
              <w:left w:type="dxa" w:w="110"/>
              <w:bottom w:type="dxa" w:w="70"/>
              <w:right w:type="dxa" w:w="110"/>
            </w:tcMar>
          </w:tcPr>
          <w:p>
            <w:pPr>
              <w:spacing w:after="0"/>
            </w:pPr>
            <w:r>
              <w:rPr>
                <w:b w:val="false"/>
                <w:bCs w:val="false"/>
                <w:color w:val="1B1F1D"/>
                <w:sz w:val="18"/>
                <w:szCs w:val="18"/>
              </w:rPr>
              <w:t xml:space="preserve">Acquisition stays free</w:t>
            </w:r>
          </w:p>
        </w:tc>
        <w:tc>
          <w:tcPr>
            <w:tcW w:type="dxa" w:w="3400"/>
            <w:tcMar>
              <w:top w:type="dxa" w:w="70"/>
              <w:left w:type="dxa" w:w="110"/>
              <w:bottom w:type="dxa" w:w="70"/>
              <w:right w:type="dxa" w:w="110"/>
            </w:tcMar>
          </w:tcPr>
          <w:p>
            <w:pPr>
              <w:spacing w:after="0"/>
            </w:pPr>
            <w:r>
              <w:rPr>
                <w:b w:val="false"/>
                <w:bCs w:val="false"/>
                <w:color w:val="1B1F1D"/>
                <w:sz w:val="18"/>
                <w:szCs w:val="18"/>
              </w:rPr>
              <w:t xml:space="preserve">Content → leads without ad spend</w:t>
            </w:r>
          </w:p>
        </w:tc>
        <w:tc>
          <w:tcPr>
            <w:tcW w:type="dxa" w:w="3760"/>
            <w:tcMar>
              <w:top w:type="dxa" w:w="70"/>
              <w:left w:type="dxa" w:w="110"/>
              <w:bottom w:type="dxa" w:w="70"/>
              <w:right w:type="dxa" w:w="110"/>
            </w:tcMar>
          </w:tcPr>
          <w:p>
            <w:pPr>
              <w:spacing w:after="0"/>
            </w:pPr>
            <w:r>
              <w:rPr>
                <w:b w:val="false"/>
                <w:bCs w:val="false"/>
                <w:color w:val="1B1F1D"/>
                <w:sz w:val="18"/>
                <w:szCs w:val="18"/>
              </w:rPr>
              <w:t xml:space="preserve">Lead flow sustained by cadence alone for 60 days</w:t>
            </w:r>
          </w:p>
        </w:tc>
      </w:tr>
    </w:tbl>
    <w:p>
      <w:pPr>
        <w:spacing w:after="120"/>
      </w:pPr>
      <w:r>
        <w:rPr>
          <w:b w:val="false"/>
          <w:bCs w:val="false"/>
          <w:i w:val="false"/>
          <w:iCs w:val="false"/>
          <w:color w:val="1B1F1D"/>
          <w:sz w:val="21"/>
          <w:szCs w:val="21"/>
        </w:rPr>
        <w:t xml:space="preserve"/>
      </w:r>
    </w:p>
    <w:p>
      <w:pPr>
        <w:pStyle w:val="Heading2"/>
        <w:spacing w:after="120" w:before="200"/>
      </w:pPr>
      <w:r>
        <w:t xml:space="preserve">7.3 Weekly Metrics (founder dashboard)</w:t>
      </w:r>
    </w:p>
    <w:p>
      <w:pPr>
        <w:spacing w:after="120"/>
      </w:pPr>
      <w:r>
        <w:rPr>
          <w:b w:val="false"/>
          <w:bCs w:val="false"/>
          <w:i w:val="false"/>
          <w:iCs w:val="false"/>
          <w:color w:val="1B1F1D"/>
          <w:sz w:val="21"/>
          <w:szCs w:val="21"/>
        </w:rPr>
        <w:t xml:space="preserve">Leads · grade completions · claims created · entries per active claim · free→Pro % · letters generated (north star) · AI cost per user · support tickets. Reviewed every Sunday; one decision per review.</w:t>
      </w:r>
    </w:p>
    <w:p>
      <w:pPr>
        <w:pStyle w:val="Heading2"/>
        <w:spacing w:after="120" w:before="200"/>
      </w:pPr>
      <w:r>
        <w:t xml:space="preserve">7.4 Beta Protocol</w:t>
      </w:r>
    </w:p>
    <w:p>
      <w:pPr>
        <w:spacing w:after="120"/>
      </w:pPr>
      <w:r>
        <w:rPr>
          <w:b w:val="false"/>
          <w:bCs w:val="false"/>
          <w:i w:val="false"/>
          <w:iCs w:val="false"/>
          <w:color w:val="1B1F1D"/>
          <w:sz w:val="21"/>
          <w:szCs w:val="21"/>
        </w:rPr>
        <w:t xml:space="preserve">Ten users, one week. Each user: onboarding call notes, three tasks (create claim, log entry, run one analysis), exit interview. Bugs tracked in a single list ranked by “blocks the binder habit?” Feature requests logged, not promised.</w:t>
      </w:r>
    </w:p>
    <w:p>
      <w:r>
        <w:br w:type="page"/>
      </w:r>
    </w:p>
    <w:p>
      <w:pPr>
        <w:pStyle w:val="Heading1"/>
        <w:spacing w:after="160" w:before="240"/>
      </w:pPr>
      <w:r>
        <w:t xml:space="preserve">Volume X — Legal &amp; Compliance Manual</w:t>
      </w:r>
    </w:p>
    <w:p>
      <w:pPr>
        <w:pStyle w:val="Heading2"/>
        <w:spacing w:after="120" w:before="200"/>
      </w:pPr>
      <w:r>
        <w:t xml:space="preserve">10.1 Regulatory Positioning (design constraints, not fine print)</w:t>
      </w:r>
    </w:p>
    <w:p>
      <w:pPr>
        <w:pStyle w:val="ListParagraph"/>
        <w:numPr>
          <w:ilvl w:val="0"/>
          <w:numId w:val="2"/>
        </w:numPr>
        <w:spacing w:after="60"/>
      </w:pPr>
      <w:r>
        <w:rPr>
          <w:b w:val="false"/>
          <w:bCs w:val="false"/>
          <w:color w:val="1B1F1D"/>
          <w:sz w:val="21"/>
          <w:szCs w:val="21"/>
        </w:rPr>
        <w:t xml:space="preserve">Self-help only: the user prepares, reviews, and sends everything; the platform never contacts a carrier.</w:t>
      </w:r>
    </w:p>
    <w:p>
      <w:pPr>
        <w:pStyle w:val="ListParagraph"/>
        <w:numPr>
          <w:ilvl w:val="0"/>
          <w:numId w:val="2"/>
        </w:numPr>
        <w:spacing w:after="60"/>
      </w:pPr>
      <w:r>
        <w:rPr>
          <w:b w:val="false"/>
          <w:bCs w:val="false"/>
          <w:color w:val="1B1F1D"/>
          <w:sz w:val="21"/>
          <w:szCs w:val="21"/>
        </w:rPr>
        <w:t xml:space="preserve">No adjusting or representation — keeps the product outside public-adjuster licensing regimes (in Georgia, O.C.G.A. Title 33, Ch. 23) by design.</w:t>
      </w:r>
    </w:p>
    <w:p>
      <w:pPr>
        <w:pStyle w:val="ListParagraph"/>
        <w:numPr>
          <w:ilvl w:val="0"/>
          <w:numId w:val="2"/>
        </w:numPr>
        <w:spacing w:after="60"/>
      </w:pPr>
      <w:r>
        <w:rPr>
          <w:b w:val="false"/>
          <w:bCs w:val="false"/>
          <w:color w:val="1B1F1D"/>
          <w:sz w:val="21"/>
          <w:szCs w:val="21"/>
        </w:rPr>
        <w:t xml:space="preserve">No legal advice — educational analysis and drafts for the user's review; avoids unauthorized-practice-of-law exposure.</w:t>
      </w:r>
    </w:p>
    <w:p>
      <w:pPr>
        <w:pStyle w:val="ListParagraph"/>
        <w:numPr>
          <w:ilvl w:val="0"/>
          <w:numId w:val="2"/>
        </w:numPr>
        <w:spacing w:after="60"/>
      </w:pPr>
      <w:r>
        <w:rPr>
          <w:b w:val="false"/>
          <w:bCs w:val="false"/>
          <w:color w:val="1B1F1D"/>
          <w:sz w:val="21"/>
          <w:szCs w:val="21"/>
        </w:rPr>
        <w:t xml:space="preserve">No outcome predictions anywhere: not in product, marketing, or the score (see naming decision, Vol. II §2.10).</w:t>
      </w:r>
    </w:p>
    <w:p>
      <w:pPr>
        <w:pStyle w:val="Heading2"/>
        <w:spacing w:after="120" w:before="200"/>
      </w:pPr>
      <w:r>
        <w:t xml:space="preserve">10.2 Disclaimer Standards (verbatim lines)</w:t>
      </w:r>
    </w:p>
    <w:p>
      <w:pPr>
        <w:pStyle w:val="ListParagraph"/>
        <w:numPr>
          <w:ilvl w:val="0"/>
          <w:numId w:val="3"/>
        </w:numPr>
        <w:spacing w:after="60"/>
      </w:pPr>
      <w:r>
        <w:rPr>
          <w:color w:val="1B1F1D"/>
          <w:sz w:val="21"/>
          <w:szCs w:val="21"/>
        </w:rPr>
        <w:t xml:space="preserve">Product footer / AI surfaces: “WholeClaim is a self-help documentation tool, not legal or insurance advice.”</w:t>
      </w:r>
    </w:p>
    <w:p>
      <w:pPr>
        <w:pStyle w:val="ListParagraph"/>
        <w:numPr>
          <w:ilvl w:val="0"/>
          <w:numId w:val="3"/>
        </w:numPr>
        <w:spacing w:after="60"/>
      </w:pPr>
      <w:r>
        <w:rPr>
          <w:color w:val="1B1F1D"/>
          <w:sz w:val="21"/>
          <w:szCs w:val="21"/>
        </w:rPr>
        <w:t xml:space="preserve">Letters UI: “In active litigation? Route every draft through your attorney before sending.”</w:t>
      </w:r>
    </w:p>
    <w:p>
      <w:pPr>
        <w:pStyle w:val="ListParagraph"/>
        <w:numPr>
          <w:ilvl w:val="0"/>
          <w:numId w:val="3"/>
        </w:numPr>
        <w:spacing w:after="60"/>
      </w:pPr>
      <w:r>
        <w:rPr>
          <w:color w:val="1B1F1D"/>
          <w:sz w:val="21"/>
          <w:szCs w:val="21"/>
        </w:rPr>
        <w:t xml:space="preserve">Marketing results tail: “A documented individual result. WholeClaim doesn't promise outcomes — it organizes evidence.”</w:t>
      </w:r>
    </w:p>
    <w:p>
      <w:pPr>
        <w:pStyle w:val="Heading2"/>
        <w:spacing w:after="120" w:before="200"/>
      </w:pPr>
      <w:r>
        <w:t xml:space="preserve">10.3 Privacy Program Commitments</w:t>
      </w:r>
    </w:p>
    <w:p>
      <w:pPr>
        <w:pStyle w:val="ListParagraph"/>
        <w:numPr>
          <w:ilvl w:val="0"/>
          <w:numId w:val="2"/>
        </w:numPr>
        <w:spacing w:after="60"/>
      </w:pPr>
      <w:r>
        <w:rPr>
          <w:b w:val="false"/>
          <w:bCs w:val="false"/>
          <w:color w:val="1B1F1D"/>
          <w:sz w:val="21"/>
          <w:szCs w:val="21"/>
        </w:rPr>
        <w:t xml:space="preserve">Collect the minimum; claim contents never enter analytics or logs.</w:t>
      </w:r>
    </w:p>
    <w:p>
      <w:pPr>
        <w:pStyle w:val="ListParagraph"/>
        <w:numPr>
          <w:ilvl w:val="0"/>
          <w:numId w:val="2"/>
        </w:numPr>
        <w:spacing w:after="60"/>
      </w:pPr>
      <w:r>
        <w:rPr>
          <w:b w:val="false"/>
          <w:bCs w:val="false"/>
          <w:color w:val="1B1F1D"/>
          <w:sz w:val="21"/>
          <w:szCs w:val="21"/>
        </w:rPr>
        <w:t xml:space="preserve">User-controlled export (JSON + files) and deletion (complete within 30 days) as product features.</w:t>
      </w:r>
    </w:p>
    <w:p>
      <w:pPr>
        <w:pStyle w:val="ListParagraph"/>
        <w:numPr>
          <w:ilvl w:val="0"/>
          <w:numId w:val="2"/>
        </w:numPr>
        <w:spacing w:after="60"/>
      </w:pPr>
      <w:r>
        <w:rPr>
          <w:b w:val="false"/>
          <w:bCs w:val="false"/>
          <w:color w:val="1B1F1D"/>
          <w:sz w:val="21"/>
          <w:szCs w:val="21"/>
        </w:rPr>
        <w:t xml:space="preserve">No sale or sharing of user data; leads used only for the stated results-and-tips emails with working unsubscribe.</w:t>
      </w:r>
    </w:p>
    <w:p>
      <w:pPr>
        <w:pStyle w:val="ListParagraph"/>
        <w:numPr>
          <w:ilvl w:val="0"/>
          <w:numId w:val="2"/>
        </w:numPr>
        <w:spacing w:after="60"/>
      </w:pPr>
      <w:r>
        <w:rPr>
          <w:b w:val="false"/>
          <w:bCs w:val="false"/>
          <w:color w:val="1B1F1D"/>
          <w:sz w:val="21"/>
          <w:szCs w:val="21"/>
        </w:rPr>
        <w:t xml:space="preserve">Public pages required at launch: Privacy Policy, Terms of Service, AI Disclaimer, Cookie notice if analytics run.</w:t>
      </w:r>
    </w:p>
    <w:p>
      <w:pPr>
        <w:pStyle w:val="Heading2"/>
        <w:spacing w:after="120" w:before="200"/>
      </w:pPr>
      <w:r>
        <w:t xml:space="preserve">10.4 AI Governance</w:t>
      </w:r>
    </w:p>
    <w:p>
      <w:pPr>
        <w:pStyle w:val="ListParagraph"/>
        <w:numPr>
          <w:ilvl w:val="0"/>
          <w:numId w:val="2"/>
        </w:numPr>
        <w:spacing w:after="60"/>
      </w:pPr>
      <w:r>
        <w:rPr>
          <w:b w:val="false"/>
          <w:bCs w:val="false"/>
          <w:color w:val="1B1F1D"/>
          <w:sz w:val="21"/>
          <w:szCs w:val="21"/>
        </w:rPr>
        <w:t xml:space="preserve">Human approval gates: letters are user-reviewed by design; library entries require explicit owner approval before use.</w:t>
      </w:r>
    </w:p>
    <w:p>
      <w:pPr>
        <w:pStyle w:val="ListParagraph"/>
        <w:numPr>
          <w:ilvl w:val="0"/>
          <w:numId w:val="2"/>
        </w:numPr>
        <w:spacing w:after="60"/>
      </w:pPr>
      <w:r>
        <w:rPr>
          <w:b w:val="false"/>
          <w:bCs w:val="false"/>
          <w:color w:val="1B1F1D"/>
          <w:sz w:val="21"/>
          <w:szCs w:val="21"/>
        </w:rPr>
        <w:t xml:space="preserve">Prompt templates are versioned; every AI call is logged to ai_runs with version and token counts.</w:t>
      </w:r>
    </w:p>
    <w:p>
      <w:pPr>
        <w:pStyle w:val="ListParagraph"/>
        <w:numPr>
          <w:ilvl w:val="0"/>
          <w:numId w:val="2"/>
        </w:numPr>
        <w:spacing w:after="60"/>
      </w:pPr>
      <w:r>
        <w:rPr>
          <w:b w:val="false"/>
          <w:bCs w:val="false"/>
          <w:color w:val="1B1F1D"/>
          <w:sz w:val="21"/>
          <w:szCs w:val="21"/>
        </w:rPr>
        <w:t xml:space="preserve">Golden-test regression (G1–G6) runs after any prompt or library change; fabricated citations are an automatic release blocker.</w:t>
      </w:r>
    </w:p>
    <w:p>
      <w:pPr>
        <w:pStyle w:val="ListParagraph"/>
        <w:numPr>
          <w:ilvl w:val="0"/>
          <w:numId w:val="2"/>
        </w:numPr>
        <w:spacing w:after="60"/>
      </w:pPr>
      <w:r>
        <w:rPr>
          <w:b w:val="false"/>
          <w:bCs w:val="false"/>
          <w:color w:val="1B1F1D"/>
          <w:sz w:val="21"/>
          <w:szCs w:val="21"/>
        </w:rPr>
        <w:t xml:space="preserve">The knowledge library prefers owner-verified entries over model memory and always instructs final verification.</w:t>
      </w:r>
    </w:p>
    <w:p>
      <w:pPr>
        <w:pStyle w:val="Heading2"/>
        <w:spacing w:after="120" w:before="200"/>
      </w:pPr>
      <w:r>
        <w:t xml:space="preserve">10.5 IP &amp; Trademark Usage</w:t>
      </w:r>
    </w:p>
    <w:p>
      <w:pPr>
        <w:pStyle w:val="ListParagraph"/>
        <w:numPr>
          <w:ilvl w:val="0"/>
          <w:numId w:val="2"/>
        </w:numPr>
        <w:spacing w:after="60"/>
      </w:pPr>
      <w:r>
        <w:rPr>
          <w:b w:val="false"/>
          <w:bCs w:val="false"/>
          <w:color w:val="1B1F1D"/>
          <w:sz w:val="21"/>
          <w:szCs w:val="21"/>
        </w:rPr>
        <w:t xml:space="preserve">™ may accompany WHOLECLAIM in commerce now; ® only after registration.</w:t>
      </w:r>
    </w:p>
    <w:p>
      <w:pPr>
        <w:pStyle w:val="ListParagraph"/>
        <w:numPr>
          <w:ilvl w:val="0"/>
          <w:numId w:val="2"/>
        </w:numPr>
        <w:spacing w:after="60"/>
      </w:pPr>
      <w:r>
        <w:rPr>
          <w:b w:val="false"/>
          <w:bCs w:val="false"/>
          <w:color w:val="1B1F1D"/>
          <w:sz w:val="21"/>
          <w:szCs w:val="21"/>
        </w:rPr>
        <w:t xml:space="preserve">No branded spending (filings, print, paid design) until the Volume I §1.9 clearance completes.</w:t>
      </w:r>
    </w:p>
    <w:p>
      <w:pPr>
        <w:pStyle w:val="ListParagraph"/>
        <w:numPr>
          <w:ilvl w:val="0"/>
          <w:numId w:val="2"/>
        </w:numPr>
        <w:spacing w:after="60"/>
      </w:pPr>
      <w:r>
        <w:rPr>
          <w:b w:val="false"/>
          <w:bCs w:val="false"/>
          <w:color w:val="1B1F1D"/>
          <w:sz w:val="21"/>
          <w:szCs w:val="21"/>
        </w:rPr>
        <w:t xml:space="preserve">Prompt templates, the scoring rubric, and the library schema are trade secrets — server-side only, never in client code or public repos.</w:t>
      </w:r>
    </w:p>
    <w:p>
      <w:pPr>
        <w:pStyle w:val="Heading2"/>
        <w:spacing w:after="120" w:before="200"/>
      </w:pPr>
      <w:r>
        <w:t xml:space="preserve">10.6 Incident Response (minimum viable)</w:t>
      </w:r>
    </w:p>
    <w:p>
      <w:pPr>
        <w:spacing w:after="120"/>
      </w:pPr>
      <w:r>
        <w:rPr>
          <w:b w:val="false"/>
          <w:bCs w:val="false"/>
          <w:i w:val="false"/>
          <w:iCs w:val="false"/>
          <w:color w:val="1B1F1D"/>
          <w:sz w:val="21"/>
          <w:szCs w:val="21"/>
        </w:rPr>
        <w:t xml:space="preserve">Single owner (founder) · severity triage within 24h · user notification for any data exposure per applicable law · post-incident write-up added to this volume. Formal policy matures with the first hire.</w:t>
      </w:r>
    </w:p>
    <w:p>
      <w:r>
        <w:br w:type="page"/>
      </w:r>
    </w:p>
    <w:p>
      <w:pPr>
        <w:pStyle w:val="Heading1"/>
        <w:spacing w:after="160" w:before="240"/>
      </w:pPr>
      <w:r>
        <w:t xml:space="preserve">Deferred Volumes — Stubs and Triggers</w:t>
      </w:r>
    </w:p>
    <w:p>
      <w:pPr>
        <w:pStyle w:val="Heading2"/>
        <w:spacing w:after="120" w:before="200"/>
      </w:pPr>
      <w:r>
        <w:t xml:space="preserve">Volume VI — Website Copy</w:t>
      </w:r>
    </w:p>
    <w:p>
      <w:pPr>
        <w:spacing w:after="120"/>
      </w:pPr>
      <w:r>
        <w:rPr>
          <w:b w:val="false"/>
          <w:bCs w:val="false"/>
          <w:i w:val="false"/>
          <w:iCs w:val="false"/>
          <w:color w:val="1B1F1D"/>
          <w:sz w:val="21"/>
          <w:szCs w:val="21"/>
        </w:rPr>
        <w:t xml:space="preserve">Status: next working session; gates public launch. Scope: Home, Features, Pricing, About, FAQ, Contact, Legal pages, 404, Login/Signup — written in the two-register voice with the We are NOT block on the FAQ and footer.</w:t>
      </w:r>
    </w:p>
    <w:p>
      <w:pPr>
        <w:pStyle w:val="Heading2"/>
        <w:spacing w:after="120" w:before="200"/>
      </w:pPr>
      <w:r>
        <w:t xml:space="preserve">Volume VIII — Investor Deck</w:t>
      </w:r>
    </w:p>
    <w:p>
      <w:pPr>
        <w:spacing w:after="120"/>
      </w:pPr>
      <w:r>
        <w:rPr>
          <w:b w:val="false"/>
          <w:bCs w:val="false"/>
          <w:i w:val="false"/>
          <w:iCs w:val="false"/>
          <w:color w:val="1B1F1D"/>
          <w:sz w:val="21"/>
          <w:szCs w:val="21"/>
        </w:rPr>
        <w:t xml:space="preserve">Trigger: 100 paying users OR a deliberate decision to raise. Reason: the deck's traction slide is the deck; before evidence exists, time spent here is time taken from the three viability tests. The skeleton (13 slides) is agreed and on file.</w:t>
      </w:r>
    </w:p>
    <w:p>
      <w:pPr>
        <w:pStyle w:val="Heading2"/>
        <w:spacing w:after="120" w:before="200"/>
      </w:pPr>
      <w:r>
        <w:t xml:space="preserve">Volume IX — Customer Support Manual</w:t>
      </w:r>
    </w:p>
    <w:p>
      <w:pPr>
        <w:spacing w:after="120"/>
      </w:pPr>
      <w:r>
        <w:rPr>
          <w:b w:val="false"/>
          <w:bCs w:val="false"/>
          <w:i w:val="false"/>
          <w:iCs w:val="false"/>
          <w:color w:val="1B1F1D"/>
          <w:sz w:val="21"/>
          <w:szCs w:val="21"/>
        </w:rPr>
        <w:t xml:space="preserve">Trigger: first 50 real tickets — they reveal the actual FAQ. Seeded now: support email under the new domain; refund rule (14-day no-questions refund on Pro); templates drafted from real tickets, not imagination.</w:t>
      </w:r>
    </w:p>
    <w:p>
      <w:pPr>
        <w:spacing w:after="120"/>
      </w:pPr>
      <w:r>
        <w:rPr>
          <w:b w:val="false"/>
          <w:bCs w:val="false"/>
          <w:i w:val="false"/>
          <w:iCs w:val="false"/>
          <w:color w:val="1B1F1D"/>
          <w:sz w:val="21"/>
          <w:szCs w:val="21"/>
        </w:rPr>
        <w:t xml:space="preserve"/>
      </w:r>
    </w:p>
    <w:p>
      <w:pPr>
        <w:spacing w:after="120"/>
        <w:jc w:val="center"/>
      </w:pPr>
      <w:r>
        <w:rPr>
          <w:b w:val="false"/>
          <w:bCs w:val="false"/>
          <w:i/>
          <w:iCs/>
          <w:color w:val="63665F"/>
          <w:sz w:val="21"/>
          <w:szCs w:val="21"/>
        </w:rPr>
        <w:t xml:space="preserve">— End of Operating Manual v1.0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3665F"/>
        <w:sz w:val="14"/>
        <w:szCs w:val="14"/>
      </w:rPr>
      <w:t xml:space="preserve">WORKING DRAFT — PENDING NAME CLEARANCE · CONFIDENTIAL · Page </w:t>
    </w:r>
    <w:r>
      <w:rPr>
        <w:color w:val="6366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3665F"/>
        <w:sz w:val="14"/>
        <w:szCs w:val="14"/>
      </w:rPr>
      <w:t xml:space="preserve">WHOLECLAIM™ OPERATING MANUAL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Arial" w:cs="Arial" w:eastAsia="Arial" w:hAnsi="Arial"/>
      <w:b/>
      <w:bCs/>
      <w:color w:val="1B1F1D"/>
      <w:sz w:val="32"/>
      <w:szCs w:val="32"/>
    </w:rPr>
  </w:style>
  <w:style w:type="paragraph" w:styleId="Heading2">
    <w:name w:val="Heading 2"/>
    <w:basedOn w:val="Normal"/>
    <w:next w:val="Normal"/>
    <w:qFormat/>
    <w:pPr>
      <w:spacing w:after="120" w:before="200"/>
    </w:pPr>
    <w:rPr>
      <w:rFonts w:ascii="Arial" w:cs="Arial" w:eastAsia="Arial" w:hAnsi="Arial"/>
      <w:b/>
      <w:bCs/>
      <w:color w:val="1E4B3C"/>
      <w:sz w:val="25"/>
      <w:szCs w:val="25"/>
    </w:rPr>
  </w:style>
  <w:style w:type="paragraph" w:styleId="Heading3">
    <w:name w:val="Heading 3"/>
    <w:basedOn w:val="Normal"/>
    <w:next w:val="Normal"/>
    <w:qFormat/>
    <w:pPr>
      <w:spacing w:after="100" w:before="160"/>
    </w:pPr>
    <w:rPr>
      <w:rFonts w:ascii="Arial" w:cs="Arial" w:eastAsia="Arial" w:hAnsi="Arial"/>
      <w:b/>
      <w:bCs/>
      <w:color w:val="1B1F1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2026-07-13T06:57:04.320Z</dcterms:created>
  <dcterms:modified xsi:type="dcterms:W3CDTF">2026-07-13T06:57:04.334Z</dcterms:modified>
</cp:coreProperties>
</file>

<file path=docProps/custom.xml><?xml version="1.0" encoding="utf-8"?>
<Properties xmlns="http://schemas.openxmlformats.org/officeDocument/2006/custom-properties" xmlns:vt="http://schemas.openxmlformats.org/officeDocument/2006/docPropsVTypes"/>
</file>