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72795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1AEE" w:rsidRDefault="00261AEE">
          <w:pPr>
            <w:pStyle w:val="TOCHeading"/>
          </w:pPr>
          <w:r>
            <w:t>Table of Contents</w:t>
          </w:r>
        </w:p>
        <w:p w:rsidR="00261AEE" w:rsidRDefault="00261AE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5036" w:history="1">
            <w:r w:rsidRPr="00C40B30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C40B30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1825037" w:history="1">
            <w:r w:rsidR="00261AEE" w:rsidRPr="00C40B30">
              <w:rPr>
                <w:rStyle w:val="Hyperlink"/>
                <w:noProof/>
              </w:rPr>
              <w:t>3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Project Layout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_Toc431825037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2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38" w:history="1">
            <w:r w:rsidR="00261AEE" w:rsidRPr="00C40B30">
              <w:rPr>
                <w:rStyle w:val="Hyperlink"/>
                <w:noProof/>
              </w:rPr>
              <w:t>3.1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Blue.Data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_Toc431825038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2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39" w:history="1">
            <w:r w:rsidR="00261AEE" w:rsidRPr="00C40B30">
              <w:rPr>
                <w:rStyle w:val="Hyperlink"/>
                <w:noProof/>
              </w:rPr>
              <w:t>3.2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Blue.General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_Toc431825039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3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0" w:history="1">
            <w:r w:rsidR="00261AEE" w:rsidRPr="00C40B30">
              <w:rPr>
                <w:rStyle w:val="Hyperlink"/>
                <w:noProof/>
              </w:rPr>
              <w:t>3.3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Blue.Library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_Toc431825040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3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1" w:history="1">
            <w:r w:rsidR="00261AEE" w:rsidRPr="00C40B30">
              <w:rPr>
                <w:rStyle w:val="Hyperlink"/>
                <w:noProof/>
              </w:rPr>
              <w:t>3.4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Blue.TestSuite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_Toc431825041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2" w:history="1">
            <w:r w:rsidR="00261AEE" w:rsidRPr="00C40B30">
              <w:rPr>
                <w:rStyle w:val="Hyperlink"/>
                <w:noProof/>
              </w:rPr>
              <w:t>3.5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Blue.WebAPI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_Toc431825042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00062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825043" w:history="1">
            <w:r w:rsidR="00261AEE" w:rsidRPr="00C40B30">
              <w:rPr>
                <w:rStyle w:val="Hyperlink"/>
                <w:noProof/>
              </w:rPr>
              <w:t>3.6</w:t>
            </w:r>
            <w:r w:rsidR="00261AEE">
              <w:rPr>
                <w:noProof/>
                <w:lang w:eastAsia="en-US"/>
              </w:rPr>
              <w:tab/>
            </w:r>
            <w:r w:rsidR="00261AEE" w:rsidRPr="00C40B30">
              <w:rPr>
                <w:rStyle w:val="Hyperlink"/>
                <w:noProof/>
              </w:rPr>
              <w:t>HELIX Development Guidelines</w:t>
            </w:r>
            <w:r w:rsidR="00261AEE">
              <w:rPr>
                <w:noProof/>
                <w:webHidden/>
              </w:rPr>
              <w:tab/>
            </w:r>
            <w:r w:rsidR="00261AEE">
              <w:rPr>
                <w:noProof/>
                <w:webHidden/>
              </w:rPr>
              <w:fldChar w:fldCharType="begin"/>
            </w:r>
            <w:r w:rsidR="00261AEE">
              <w:rPr>
                <w:noProof/>
                <w:webHidden/>
              </w:rPr>
              <w:instrText xml:space="preserve"> PAGEREF _Toc431825043 \h </w:instrText>
            </w:r>
            <w:r w:rsidR="00261AEE">
              <w:rPr>
                <w:noProof/>
                <w:webHidden/>
              </w:rPr>
            </w:r>
            <w:r w:rsidR="00261AEE">
              <w:rPr>
                <w:noProof/>
                <w:webHidden/>
              </w:rPr>
              <w:fldChar w:fldCharType="separate"/>
            </w:r>
            <w:r w:rsidR="00261AEE">
              <w:rPr>
                <w:noProof/>
                <w:webHidden/>
              </w:rPr>
              <w:t>4</w:t>
            </w:r>
            <w:r w:rsidR="00261AEE">
              <w:rPr>
                <w:noProof/>
                <w:webHidden/>
              </w:rPr>
              <w:fldChar w:fldCharType="end"/>
            </w:r>
          </w:hyperlink>
        </w:p>
        <w:p w:rsidR="00261AEE" w:rsidRDefault="00261AEE">
          <w:r>
            <w:rPr>
              <w:b/>
              <w:bCs/>
              <w:noProof/>
            </w:rPr>
            <w:fldChar w:fldCharType="end"/>
          </w:r>
        </w:p>
      </w:sdtContent>
    </w:sdt>
    <w:p w:rsidR="00261AEE" w:rsidRDefault="00261AEE">
      <w:pPr>
        <w:pStyle w:val="Title"/>
      </w:pPr>
    </w:p>
    <w:p w:rsidR="00261AEE" w:rsidRDefault="00261AEE" w:rsidP="00261AEE"/>
    <w:p w:rsidR="00261AEE" w:rsidRDefault="00261AEE" w:rsidP="00261AEE">
      <w:r>
        <w:br w:type="page"/>
      </w:r>
    </w:p>
    <w:p w:rsidR="00575103" w:rsidRDefault="006731FE">
      <w:pPr>
        <w:pStyle w:val="Title"/>
      </w:pPr>
      <w:r>
        <w:lastRenderedPageBreak/>
        <w:t>Blueprint</w:t>
      </w:r>
    </w:p>
    <w:p w:rsidR="00575103" w:rsidRDefault="006731FE">
      <w:pPr>
        <w:pStyle w:val="Heading1"/>
      </w:pPr>
      <w:bookmarkStart w:id="0" w:name="_Toc431825036"/>
      <w:r>
        <w:t>Setup</w:t>
      </w:r>
      <w:bookmarkEnd w:id="0"/>
    </w:p>
    <w:p w:rsidR="00575103" w:rsidRDefault="006731FE">
      <w:bookmarkStart w:id="1" w:name="_GoBack"/>
      <w:bookmarkEnd w:id="1"/>
      <w:r>
        <w:t>Blueprint requires the following installed on a developer’s workstation: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Visual Studio 2015 / .NET 4.5 or 4.6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>IIS Express v9 or newer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>GIT (github.com)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proofErr w:type="spellStart"/>
      <w:r>
        <w:t>Github</w:t>
      </w:r>
      <w:proofErr w:type="spellEnd"/>
      <w:r>
        <w:t xml:space="preserve"> @username with access to the repository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SQL Server 2012 or newer </w:t>
      </w:r>
    </w:p>
    <w:p w:rsidR="006731FE" w:rsidRDefault="006731FE" w:rsidP="006731FE">
      <w:pPr>
        <w:pStyle w:val="ListParagraph"/>
        <w:numPr>
          <w:ilvl w:val="0"/>
          <w:numId w:val="13"/>
        </w:numPr>
      </w:pPr>
      <w:r>
        <w:t xml:space="preserve">Recommended: </w:t>
      </w:r>
      <w:proofErr w:type="spellStart"/>
      <w:r>
        <w:t>npm</w:t>
      </w:r>
      <w:proofErr w:type="spellEnd"/>
      <w:r>
        <w:t xml:space="preserve">, bower, </w:t>
      </w:r>
      <w:proofErr w:type="spellStart"/>
      <w:r>
        <w:t>nuget</w:t>
      </w:r>
      <w:proofErr w:type="spellEnd"/>
      <w:r>
        <w:t xml:space="preserve">, and curl (or Fiddler) </w:t>
      </w:r>
    </w:p>
    <w:p w:rsidR="006731FE" w:rsidRDefault="006731FE" w:rsidP="006731FE">
      <w:pPr>
        <w:pStyle w:val="Heading1"/>
      </w:pPr>
      <w:bookmarkStart w:id="2" w:name="_Toc431825037"/>
      <w:r>
        <w:t>Project Layout</w:t>
      </w:r>
      <w:bookmarkEnd w:id="2"/>
    </w:p>
    <w:p w:rsidR="006731FE" w:rsidRDefault="006731FE" w:rsidP="006731FE">
      <w:r>
        <w:t xml:space="preserve">The Blueprint project follows the standard HELIX project layout: </w:t>
      </w:r>
    </w:p>
    <w:p w:rsidR="006731FE" w:rsidRDefault="006731FE" w:rsidP="006731FE">
      <w:r>
        <w:rPr>
          <w:noProof/>
          <w:lang w:eastAsia="en-US"/>
        </w:rPr>
        <w:drawing>
          <wp:inline distT="0" distB="0" distL="0" distR="0" wp14:anchorId="1B640DD8" wp14:editId="7DEF5702">
            <wp:extent cx="2393906" cy="9758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353" cy="9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FE" w:rsidRDefault="006731FE" w:rsidP="006731FE">
      <w:pPr>
        <w:pStyle w:val="Heading2"/>
      </w:pPr>
      <w:bookmarkStart w:id="3" w:name="_Toc431825038"/>
      <w:proofErr w:type="spellStart"/>
      <w:r>
        <w:t>Blue.Data</w:t>
      </w:r>
      <w:bookmarkEnd w:id="3"/>
      <w:proofErr w:type="spellEnd"/>
    </w:p>
    <w:p w:rsidR="006731FE" w:rsidRDefault="006731FE" w:rsidP="006731FE">
      <w:r>
        <w:t xml:space="preserve">The DATA project contains all database access layer code, including enumerations, generics and controllers for every “model.” For the purposes of HELIX, a model has a 1:1 relationship to a SQL TABLE. </w:t>
      </w:r>
    </w:p>
    <w:p w:rsidR="006731FE" w:rsidRDefault="006731FE" w:rsidP="006731FE">
      <w:r>
        <w:rPr>
          <w:noProof/>
          <w:lang w:eastAsia="en-US"/>
        </w:rPr>
        <w:drawing>
          <wp:inline distT="0" distB="0" distL="0" distR="0" wp14:anchorId="59968500" wp14:editId="54DF9F25">
            <wp:extent cx="2318835" cy="169914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853" cy="17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FE" w:rsidRDefault="006731FE" w:rsidP="006731FE">
      <w:r>
        <w:t xml:space="preserve">Every table must have the following elements to be accessible by the HELIX framework: A </w:t>
      </w:r>
      <w:proofErr w:type="gramStart"/>
      <w:r>
        <w:t>repository  class</w:t>
      </w:r>
      <w:proofErr w:type="gramEnd"/>
      <w:r>
        <w:t xml:space="preserve"> (\repository), a model class (\models), and </w:t>
      </w:r>
      <w:r w:rsidR="00796816">
        <w:t xml:space="preserve">a generic controller (\controller). For example: </w:t>
      </w:r>
    </w:p>
    <w:p w:rsidR="00796816" w:rsidRDefault="00796816" w:rsidP="006731FE">
      <w:r>
        <w:rPr>
          <w:noProof/>
          <w:lang w:eastAsia="en-US"/>
        </w:rPr>
        <w:lastRenderedPageBreak/>
        <w:drawing>
          <wp:inline distT="0" distB="0" distL="0" distR="0" wp14:anchorId="6CF6D03B" wp14:editId="254336F5">
            <wp:extent cx="2681785" cy="353151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364" cy="3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Pr="00796816" w:rsidRDefault="00796816" w:rsidP="006731FE">
      <w:pPr>
        <w:rPr>
          <w:sz w:val="16"/>
        </w:rPr>
      </w:pPr>
      <w:r w:rsidRPr="00796816">
        <w:rPr>
          <w:sz w:val="16"/>
        </w:rPr>
        <w:t>A sample “</w:t>
      </w:r>
      <w:proofErr w:type="spellStart"/>
      <w:r w:rsidRPr="00796816">
        <w:rPr>
          <w:sz w:val="16"/>
        </w:rPr>
        <w:t>PartHistory</w:t>
      </w:r>
      <w:proofErr w:type="spellEnd"/>
      <w:r w:rsidRPr="00796816">
        <w:rPr>
          <w:sz w:val="16"/>
        </w:rPr>
        <w:t>” model</w:t>
      </w:r>
    </w:p>
    <w:p w:rsidR="00796816" w:rsidRDefault="00796816" w:rsidP="006731FE">
      <w:r>
        <w:rPr>
          <w:noProof/>
          <w:lang w:eastAsia="en-US"/>
        </w:rPr>
        <w:drawing>
          <wp:inline distT="0" distB="0" distL="0" distR="0" wp14:anchorId="5D4B5F4B" wp14:editId="4F0932F4">
            <wp:extent cx="3222546" cy="6073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275" cy="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Pr="00796816" w:rsidRDefault="00796816" w:rsidP="006731FE">
      <w:pPr>
        <w:rPr>
          <w:sz w:val="16"/>
        </w:rPr>
      </w:pPr>
      <w:r w:rsidRPr="00796816">
        <w:rPr>
          <w:sz w:val="16"/>
        </w:rPr>
        <w:t>A sample “Parts” repository</w:t>
      </w:r>
    </w:p>
    <w:p w:rsidR="006731FE" w:rsidRDefault="00796816" w:rsidP="006731FE">
      <w:r>
        <w:rPr>
          <w:noProof/>
          <w:lang w:eastAsia="en-US"/>
        </w:rPr>
        <w:drawing>
          <wp:inline distT="0" distB="0" distL="0" distR="0" wp14:anchorId="67CBC8AD" wp14:editId="31A93D79">
            <wp:extent cx="4788018" cy="10440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220" cy="10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16" w:rsidRDefault="00796816" w:rsidP="006731FE">
      <w:pPr>
        <w:rPr>
          <w:sz w:val="16"/>
        </w:rPr>
      </w:pPr>
      <w:r w:rsidRPr="00796816">
        <w:rPr>
          <w:sz w:val="16"/>
        </w:rPr>
        <w:t>A sample “Parts” controller generic class</w:t>
      </w:r>
    </w:p>
    <w:p w:rsidR="00796816" w:rsidRDefault="00796816" w:rsidP="00796816">
      <w:pPr>
        <w:pStyle w:val="Heading2"/>
      </w:pPr>
      <w:bookmarkStart w:id="4" w:name="_Toc431825039"/>
      <w:proofErr w:type="spellStart"/>
      <w:r>
        <w:t>Blue.General</w:t>
      </w:r>
      <w:bookmarkEnd w:id="4"/>
      <w:proofErr w:type="spellEnd"/>
    </w:p>
    <w:p w:rsidR="00796816" w:rsidRDefault="00796816" w:rsidP="00796816">
      <w:r>
        <w:t xml:space="preserve">The GENERAL project contains all general utility classes and methods like configuration, error handling, mailing and application general settings. General project should only be used as a reference for the rest of the project and should not need any internal solution references. </w:t>
      </w:r>
    </w:p>
    <w:p w:rsidR="00796816" w:rsidRDefault="00796816" w:rsidP="00796816">
      <w:pPr>
        <w:pStyle w:val="Heading2"/>
      </w:pPr>
      <w:bookmarkStart w:id="5" w:name="_Toc431825040"/>
      <w:proofErr w:type="spellStart"/>
      <w:r>
        <w:t>Blue.Library</w:t>
      </w:r>
      <w:bookmarkEnd w:id="5"/>
      <w:proofErr w:type="spellEnd"/>
    </w:p>
    <w:p w:rsidR="00796816" w:rsidRDefault="00796816" w:rsidP="00796816">
      <w:r>
        <w:t xml:space="preserve">The LIBRARY project contains all code application business logic for API and business/domain services. All business-layer exceptions, services, responses and results should be placed here. </w:t>
      </w:r>
    </w:p>
    <w:p w:rsidR="00796816" w:rsidRDefault="00796816" w:rsidP="00796816">
      <w:r>
        <w:lastRenderedPageBreak/>
        <w:t xml:space="preserve">A </w:t>
      </w:r>
      <w:r w:rsidRPr="00796816">
        <w:rPr>
          <w:b/>
          <w:u w:val="single"/>
        </w:rPr>
        <w:t>service</w:t>
      </w:r>
      <w:r>
        <w:rPr>
          <w:b/>
          <w:u w:val="single"/>
        </w:rPr>
        <w:t xml:space="preserve"> </w:t>
      </w:r>
      <w:r>
        <w:t xml:space="preserve">encapsulates one or more controller from DAL adding in any business layer or data layer rules. </w:t>
      </w:r>
    </w:p>
    <w:p w:rsidR="00796816" w:rsidRDefault="00796816" w:rsidP="00796816">
      <w:r>
        <w:t xml:space="preserve">A </w:t>
      </w:r>
      <w:r w:rsidRPr="00796816">
        <w:rPr>
          <w:b/>
          <w:u w:val="single"/>
        </w:rPr>
        <w:t>response</w:t>
      </w:r>
      <w:r>
        <w:t xml:space="preserve"> is a response from a service call containing success or failure, message(s) and the underlying result.</w:t>
      </w:r>
    </w:p>
    <w:p w:rsidR="00796816" w:rsidRDefault="00796816" w:rsidP="00796816">
      <w:r>
        <w:t xml:space="preserve">A </w:t>
      </w:r>
      <w:r w:rsidRPr="00796816">
        <w:rPr>
          <w:b/>
          <w:u w:val="single"/>
        </w:rPr>
        <w:t>result</w:t>
      </w:r>
      <w:r>
        <w:rPr>
          <w:b/>
          <w:u w:val="single"/>
        </w:rPr>
        <w:t xml:space="preserve"> </w:t>
      </w:r>
      <w:r>
        <w:t xml:space="preserve">is any generic result from an internal operation from the LIBRARY or can be referenced by a response. </w:t>
      </w:r>
    </w:p>
    <w:p w:rsidR="00796816" w:rsidRDefault="00796816" w:rsidP="00796816">
      <w:r>
        <w:t xml:space="preserve">An </w:t>
      </w:r>
      <w:r w:rsidRPr="00796816">
        <w:rPr>
          <w:b/>
          <w:u w:val="single"/>
        </w:rPr>
        <w:t>exception</w:t>
      </w:r>
      <w:r>
        <w:rPr>
          <w:b/>
          <w:u w:val="single"/>
        </w:rPr>
        <w:t xml:space="preserve"> </w:t>
      </w:r>
      <w:r>
        <w:t xml:space="preserve">encapsulates any business layer exception and should perform logging. </w:t>
      </w:r>
    </w:p>
    <w:p w:rsidR="00796816" w:rsidRDefault="00796816" w:rsidP="00796816">
      <w:pPr>
        <w:pStyle w:val="Heading2"/>
      </w:pPr>
      <w:bookmarkStart w:id="6" w:name="_Toc431825041"/>
      <w:proofErr w:type="spellStart"/>
      <w:r>
        <w:t>Blue.TestSuite</w:t>
      </w:r>
      <w:bookmarkEnd w:id="6"/>
      <w:proofErr w:type="spellEnd"/>
    </w:p>
    <w:p w:rsidR="00796816" w:rsidRDefault="00796816" w:rsidP="00796816">
      <w:r>
        <w:t xml:space="preserve">The TEST SUITE project contains all code test suite code using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Moq</w:t>
      </w:r>
      <w:proofErr w:type="spellEnd"/>
      <w:r>
        <w:t xml:space="preserve"> etc. Tests are broken down into several types: 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r w:rsidRPr="00261AEE">
        <w:rPr>
          <w:sz w:val="20"/>
        </w:rPr>
        <w:t>Performance Tests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r w:rsidRPr="00261AEE">
        <w:rPr>
          <w:sz w:val="20"/>
        </w:rPr>
        <w:t>Functional Tests</w:t>
      </w:r>
    </w:p>
    <w:p w:rsidR="00796816" w:rsidRPr="00261AEE" w:rsidRDefault="00796816" w:rsidP="00796816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 w:rsidRPr="00261AEE">
        <w:rPr>
          <w:sz w:val="20"/>
        </w:rPr>
        <w:t>Moq</w:t>
      </w:r>
      <w:proofErr w:type="spellEnd"/>
      <w:r w:rsidRPr="00261AEE">
        <w:rPr>
          <w:sz w:val="20"/>
        </w:rPr>
        <w:t xml:space="preserve"> Tests </w:t>
      </w:r>
    </w:p>
    <w:p w:rsidR="00796816" w:rsidRDefault="00261AEE" w:rsidP="00796816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 w:rsidRPr="00261AEE">
        <w:rPr>
          <w:sz w:val="20"/>
        </w:rPr>
        <w:t>Nnit</w:t>
      </w:r>
      <w:proofErr w:type="spellEnd"/>
      <w:r w:rsidRPr="00261AEE">
        <w:rPr>
          <w:sz w:val="20"/>
        </w:rPr>
        <w:t xml:space="preserve"> Debug Tests </w:t>
      </w:r>
    </w:p>
    <w:p w:rsidR="00261AEE" w:rsidRDefault="00261AEE" w:rsidP="00261AEE">
      <w:r>
        <w:t xml:space="preserve">Included in the Blueprint solution are performance and debug tests to illustrate basic library and project functionality. </w:t>
      </w:r>
    </w:p>
    <w:p w:rsidR="00261AEE" w:rsidRDefault="00261AEE" w:rsidP="00261AEE">
      <w:pPr>
        <w:pStyle w:val="Heading2"/>
      </w:pPr>
      <w:bookmarkStart w:id="7" w:name="_Toc431825042"/>
      <w:proofErr w:type="spellStart"/>
      <w:r>
        <w:t>Blue.WebAPI</w:t>
      </w:r>
      <w:bookmarkEnd w:id="7"/>
      <w:proofErr w:type="spellEnd"/>
    </w:p>
    <w:p w:rsidR="00261AEE" w:rsidRDefault="00261AEE" w:rsidP="00261AEE">
      <w:r>
        <w:t xml:space="preserve">The </w:t>
      </w:r>
      <w:proofErr w:type="spellStart"/>
      <w:r>
        <w:t>WebAPI</w:t>
      </w:r>
      <w:proofErr w:type="spellEnd"/>
      <w:r>
        <w:t xml:space="preserve"> project exposes all the services available via a RESTful API structure and wraps the “SERVICES” section of the </w:t>
      </w:r>
      <w:proofErr w:type="spellStart"/>
      <w:r>
        <w:t>Blue.Library</w:t>
      </w:r>
      <w:proofErr w:type="spellEnd"/>
      <w:r>
        <w:t xml:space="preserve"> project. The </w:t>
      </w:r>
      <w:proofErr w:type="spellStart"/>
      <w:r>
        <w:t>WebAPI</w:t>
      </w:r>
      <w:proofErr w:type="spellEnd"/>
      <w:r>
        <w:t xml:space="preserve"> project also contains token/authentication/authorization framework samples implemented.  </w:t>
      </w:r>
    </w:p>
    <w:p w:rsidR="00261AEE" w:rsidRDefault="00261AEE" w:rsidP="00261AEE">
      <w:pPr>
        <w:rPr>
          <w:sz w:val="16"/>
        </w:rPr>
      </w:pPr>
    </w:p>
    <w:p w:rsidR="00261AEE" w:rsidRDefault="00261AEE" w:rsidP="00261AEE">
      <w:pPr>
        <w:pStyle w:val="Heading2"/>
      </w:pPr>
      <w:bookmarkStart w:id="8" w:name="_Toc431825043"/>
      <w:r>
        <w:t>HELIX Development Guidelines</w:t>
      </w:r>
      <w:bookmarkEnd w:id="8"/>
      <w: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1170"/>
        <w:gridCol w:w="5302"/>
      </w:tblGrid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Project 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Description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References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b/>
                <w:bCs/>
                <w:sz w:val="14"/>
                <w:szCs w:val="16"/>
                <w:lang w:eastAsia="en-US"/>
              </w:rPr>
              <w:t>Detail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Blueprint.Data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Data access infrastructure code, Models, Compound Models,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Sql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, Generic Repository and View Models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Blueprint.General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2202"/>
              <w:gridCol w:w="1553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 Name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Custom</w:t>
                  </w: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br/>
                    <w:t>Models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Class for custom data-binding via SQL or SPROC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 POCO Model only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Infra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IBlueprintRepository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PetaRepository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abstract partial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BlueprintPetaRepository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PetaRepo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IBPRepo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abstract partial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BlueprintPetaRepository.Events</w:t>
                  </w:r>
                  <w:proofErr w:type="spellEnd"/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custom database event handlers;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OnAfterDelete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OnBeforeInsert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, etc.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Models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Domain model. 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POCO Model only; Add "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TableName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" attributes and "Ignore" or "Result" attributes where required.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lastRenderedPageBreak/>
                    <w:t>Repository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( 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IBlueprintRepository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No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RepositoryContainer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class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Sql</w:t>
                  </w:r>
                  <w:proofErr w:type="spellEnd"/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sealed class for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SqlCommands</w:t>
                  </w:r>
                  <w:proofErr w:type="spellEnd"/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Yes. Static properties for raw SQL with @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params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used in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are views of the data model for specific workflows, e.g. billing, or loading FK-based data in one view for complex ops.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Yes. If Custom, abstract "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CustomView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" base class for direct data access for collections, otherwise use repo classes to load relevant data in view.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14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Controllers  and/or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Services</w:t>
                  </w:r>
                </w:p>
              </w:tc>
              <w:tc>
                <w:tcPr>
                  <w:tcW w:w="22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ControllersContainer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wraps Repository classes; Exposed methods are Save() [insert or update], Update() [custom update e.g. field(s)], Destroy() [deletes by object ID]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lastRenderedPageBreak/>
              <w:t>Blueprint.Database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SqlConnect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Project used to maintain SQL DDL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None.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This project isn't used by any other project. Should not be referenced anywhere.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Blueprint.General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General access code like settings, database connection name, strings, and app-wide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enums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. This project is referenced by several other projects. Should have NO inbound references other than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2538"/>
              <w:gridCol w:w="795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Directory/File</w:t>
                  </w:r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Config.cs</w:t>
                  </w:r>
                  <w:proofErr w:type="spellEnd"/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Exposes name of connection string and connection string from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app.config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or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web.config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only.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Y; getter only.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2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BlueprintSettings.cs</w:t>
                  </w:r>
                  <w:proofErr w:type="spellEnd"/>
                </w:p>
              </w:tc>
              <w:tc>
                <w:tcPr>
                  <w:tcW w:w="27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Exposes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Settings.Get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() method in </w:t>
                  </w:r>
                  <w:proofErr w:type="spellStart"/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helix</w:t>
                  </w: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fx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in static properties</w:t>
                  </w:r>
                </w:p>
              </w:tc>
              <w:tc>
                <w:tcPr>
                  <w:tcW w:w="8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Y; getter only.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Blueprint.Library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The majority of application functionality lives here including: Contexts, Controllers, Exceptions, Services,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UnitsOfWork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, Helpers, Providers and Utility methods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BP.Data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BP.General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BP.ThirdParty</w:t>
            </w:r>
            <w:proofErr w:type="spellEnd"/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2281"/>
              <w:gridCol w:w="2095"/>
            </w:tblGrid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Directory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What's inside?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b/>
                      <w:bCs/>
                      <w:sz w:val="16"/>
                      <w:szCs w:val="16"/>
                      <w:lang w:eastAsia="en-US"/>
                    </w:rPr>
                    <w:t>Code?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Context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Contextual object containers for specific application transactions modeled after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HttpContext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ChargingContext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used to bill customers. 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Yes. Inject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ViewModels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, expose any custom or relevant objects here.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Exceptions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Used to store collection of business exceptions; publishes errors to log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should publish exceptions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Extensions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Used to store class extensions methods</w:t>
                  </w:r>
                  <w:r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 </w:t>
                  </w:r>
                  <w:r w:rsidRPr="00261AEE">
                    <w:rPr>
                      <w:rFonts w:eastAsia="Times New Roman" w:cs="Consolas"/>
                      <w:sz w:val="16"/>
                      <w:szCs w:val="16"/>
                      <w:lang w:eastAsia="en-US"/>
                    </w:rPr>
                    <w:t>e(name);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24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Yes; </w:t>
                  </w:r>
                  <w:proofErr w:type="gram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Pluralize(</w:t>
                  </w:r>
                  <w:proofErr w:type="gram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) method is first method in this class. Ref: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System.Data.Entity.Design.Pluralization</w:t>
                  </w:r>
                  <w:proofErr w:type="spellEnd"/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Helpers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Simpleton classes to wrap complex or compound objects.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"new" up objects from Providers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lastRenderedPageBreak/>
                    <w:t>Providers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Wraps 3rd party clients via DI; naming convention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XXXClientProvider.cs</w:t>
                  </w:r>
                  <w:proofErr w:type="spell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, e.g. </w:t>
                  </w:r>
                  <w:proofErr w:type="spell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EmailClientProvider.cs</w:t>
                  </w:r>
                  <w:proofErr w:type="spellEnd"/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ref 3rd party public clients via DI.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Responses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Processes and returns strongly typed responses from Providers or helpers.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Pass in response (usually string) to parse in constructor.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Services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Compound classes/objects to perform app work-flow, complex functions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all based on requirements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Units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 xml:space="preserve">Units of Work wrappers for complex controller-based transactions. Expose compound </w:t>
                  </w:r>
                  <w:proofErr w:type="gramStart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Save(</w:t>
                  </w:r>
                  <w:proofErr w:type="gramEnd"/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), etc., methods should obfuscate complex logic.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 DI the relevant controllers;   </w:t>
                  </w:r>
                </w:p>
              </w:tc>
            </w:tr>
            <w:tr w:rsidR="00261AEE" w:rsidRPr="00261AEE" w:rsidTr="00261AEE">
              <w:trPr>
                <w:tblCellSpacing w:w="0" w:type="dxa"/>
              </w:trPr>
              <w:tc>
                <w:tcPr>
                  <w:tcW w:w="8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Utility</w:t>
                  </w:r>
                </w:p>
              </w:tc>
              <w:tc>
                <w:tcPr>
                  <w:tcW w:w="23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Utility classes; Used for business auditors, other utility classes used throughout the library.</w:t>
                  </w:r>
                </w:p>
              </w:tc>
              <w:tc>
                <w:tcPr>
                  <w:tcW w:w="2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61AEE" w:rsidRPr="00261AEE" w:rsidRDefault="00261AEE" w:rsidP="00261AEE">
                  <w:pPr>
                    <w:spacing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</w:pPr>
                  <w:r w:rsidRPr="00261AEE">
                    <w:rPr>
                      <w:rFonts w:eastAsia="Times New Roman" w:cs="Times New Roman"/>
                      <w:sz w:val="16"/>
                      <w:szCs w:val="16"/>
                      <w:lang w:eastAsia="en-US"/>
                    </w:rPr>
                    <w:t>Yes;</w:t>
                  </w:r>
                </w:p>
              </w:tc>
            </w:tr>
          </w:tbl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lastRenderedPageBreak/>
              <w:t>Blueprint.ThirdParty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Directly references third-party components, e.g. payment providers, Pdf libraries, faxing, emailing, etc. 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 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 any third party libs; no other project references should be used.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This exposes "client" classes to wrap functionality of third party controls. </w:t>
            </w:r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only</w:t>
            </w:r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"simple" native objects or tuples, dynamics should be returned, not library-based response or status objects.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Blueprint.Tests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Test Suite library; Each class in every project should have </w:t>
            </w:r>
            <w:proofErr w:type="spellStart"/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it's</w:t>
            </w:r>
            <w:proofErr w:type="spellEnd"/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own test fixture (class). 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JustMock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 all other BP project under test. 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Each method should have expected input/output, exception case, and any edge cases that appear as development progresses.</w:t>
            </w:r>
          </w:p>
        </w:tc>
      </w:tr>
      <w:tr w:rsidR="00261AEE" w:rsidRPr="00261AEE" w:rsidTr="00261AEE">
        <w:trPr>
          <w:tblCellSpacing w:w="0" w:type="dxa"/>
        </w:trPr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16"/>
                <w:szCs w:val="16"/>
                <w:lang w:eastAsia="en-US"/>
              </w:rPr>
              <w:t>Blueprint.WebAPI</w:t>
            </w:r>
            <w:proofErr w:type="spell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 refere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ncing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AttributeRouting</w:t>
            </w:r>
            <w:proofErr w:type="spellEnd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.</w:t>
            </w:r>
          </w:p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gram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et</w:t>
            </w:r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c</w:t>
            </w:r>
            <w:proofErr w:type="gram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. Directly connects to either controllers or services classes to expose functions. Often used to expose reporting for AJAX-based jQuery calls for charting.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proofErr w:type="spellStart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WebAPI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 xml:space="preserve">;  </w:t>
            </w:r>
            <w:proofErr w:type="spellStart"/>
            <w:r>
              <w:rPr>
                <w:rFonts w:eastAsia="Times New Roman" w:cs="Times New Roman"/>
                <w:sz w:val="16"/>
                <w:szCs w:val="16"/>
                <w:lang w:eastAsia="en-US"/>
              </w:rPr>
              <w:t>helix</w:t>
            </w: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fx</w:t>
            </w:r>
            <w:proofErr w:type="spellEnd"/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;</w:t>
            </w:r>
          </w:p>
        </w:tc>
        <w:tc>
          <w:tcPr>
            <w:tcW w:w="5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en-US"/>
              </w:rPr>
            </w:pPr>
            <w:r w:rsidRPr="00261AEE">
              <w:rPr>
                <w:rFonts w:eastAsia="Times New Roman" w:cs="Times New Roman"/>
                <w:sz w:val="16"/>
                <w:szCs w:val="16"/>
                <w:lang w:eastAsia="en-US"/>
              </w:rPr>
              <w:t>Core API for BP application. Exposes underlying domain model's controllers and services. Optionally add meters to track response times for API calls via DI.</w:t>
            </w:r>
          </w:p>
        </w:tc>
      </w:tr>
    </w:tbl>
    <w:p w:rsidR="00261AEE" w:rsidRDefault="00261AEE" w:rsidP="00261AEE">
      <w:pPr>
        <w:rPr>
          <w:sz w:val="16"/>
        </w:rPr>
      </w:pPr>
    </w:p>
    <w:p w:rsidR="00261AEE" w:rsidRDefault="00261AEE" w:rsidP="00261AEE">
      <w:pPr>
        <w:pStyle w:val="Heading2"/>
      </w:pPr>
      <w:r>
        <w:t xml:space="preserve">Blue Release notes </w:t>
      </w:r>
    </w:p>
    <w:p w:rsidR="00261AEE" w:rsidRPr="00261AEE" w:rsidRDefault="00261AEE" w:rsidP="00261AEE">
      <w:r>
        <w:t xml:space="preserve">There are still a few bugs in the search and type ahead autocomplete in the </w:t>
      </w:r>
      <w:proofErr w:type="spellStart"/>
      <w:r>
        <w:t>ang</w:t>
      </w:r>
      <w:proofErr w:type="spellEnd"/>
      <w:r>
        <w:t xml:space="preserve"> client. </w:t>
      </w:r>
      <w:r w:rsidR="00E7711A">
        <w:t xml:space="preserve">Work will continue to fix the bugs and add more documentation and use cases for the backend and the angular client. </w:t>
      </w:r>
    </w:p>
    <w:p w:rsidR="00261AEE" w:rsidRPr="00261AEE" w:rsidRDefault="00261AEE" w:rsidP="00261AEE">
      <w:pPr>
        <w:rPr>
          <w:sz w:val="16"/>
        </w:rPr>
      </w:pPr>
    </w:p>
    <w:sectPr w:rsidR="00261AEE" w:rsidRPr="00261A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7D121B"/>
    <w:multiLevelType w:val="hybridMultilevel"/>
    <w:tmpl w:val="8926D930"/>
    <w:lvl w:ilvl="0" w:tplc="A9BAB3C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FE"/>
    <w:rsid w:val="0000062F"/>
    <w:rsid w:val="00261AEE"/>
    <w:rsid w:val="00575103"/>
    <w:rsid w:val="006731FE"/>
    <w:rsid w:val="00796816"/>
    <w:rsid w:val="00E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8B03-44CE-49F3-B8C1-C749681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AE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1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A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B4E5D-2FD8-4E3C-9D4F-9D4DB6E0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33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Rios</dc:creator>
  <cp:keywords/>
  <cp:lastModifiedBy>George Rios</cp:lastModifiedBy>
  <cp:revision>2</cp:revision>
  <dcterms:created xsi:type="dcterms:W3CDTF">2015-10-05T19:46:00Z</dcterms:created>
  <dcterms:modified xsi:type="dcterms:W3CDTF">2016-02-25T21:24:00Z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