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0" w:line="360"/>
        <w:jc w:val="center"/>
      </w:pPr>
      <w:r>
        <w:rPr>
          <w:rFonts w:ascii="Times New Roman" w:cs="Times New Roman" w:eastAsia="Times New Roman" w:hAnsi="Times New Roman"/>
          <w:b/>
          <w:bCs/>
          <w:sz w:val="28"/>
          <w:szCs w:val="28"/>
        </w:rPr>
        <w:t xml:space="preserve">Responsible AI Principles and the Model Development Life Cycle:</w:t>
      </w:r>
    </w:p>
    <w:p>
      <w:pPr>
        <w:spacing w:after="720" w:line="360"/>
        <w:jc w:val="center"/>
      </w:pPr>
      <w:r>
        <w:rPr>
          <w:rFonts w:ascii="Times New Roman" w:cs="Times New Roman" w:eastAsia="Times New Roman" w:hAnsi="Times New Roman"/>
          <w:b/>
          <w:bCs/>
          <w:sz w:val="28"/>
          <w:szCs w:val="28"/>
        </w:rPr>
        <w:t xml:space="preserve">A Case Study of a Healthcare Diagnostic Triage System</w:t>
      </w:r>
    </w:p>
    <w:p>
      <w:pPr>
        <w:spacing w:after="0" w:line="360"/>
        <w:jc w:val="center"/>
      </w:pPr>
      <w:r>
        <w:rPr>
          <w:rFonts w:ascii="Times New Roman" w:cs="Times New Roman" w:eastAsia="Times New Roman" w:hAnsi="Times New Roman"/>
          <w:sz w:val="24"/>
          <w:szCs w:val="24"/>
        </w:rPr>
        <w:t xml:space="preserve">[Student Name]</w:t>
      </w:r>
    </w:p>
    <w:p>
      <w:pPr>
        <w:spacing w:after="0" w:line="360"/>
        <w:jc w:val="center"/>
      </w:pPr>
      <w:r>
        <w:rPr>
          <w:rFonts w:ascii="Times New Roman" w:cs="Times New Roman" w:eastAsia="Times New Roman" w:hAnsi="Times New Roman"/>
          <w:sz w:val="24"/>
          <w:szCs w:val="24"/>
        </w:rPr>
        <w:t xml:space="preserve">[Course Name &amp; Number]</w:t>
      </w:r>
    </w:p>
    <w:p>
      <w:pPr>
        <w:spacing w:after="0" w:line="360"/>
        <w:jc w:val="center"/>
      </w:pPr>
      <w:r>
        <w:rPr>
          <w:rFonts w:ascii="Times New Roman" w:cs="Times New Roman" w:eastAsia="Times New Roman" w:hAnsi="Times New Roman"/>
          <w:sz w:val="24"/>
          <w:szCs w:val="24"/>
        </w:rPr>
        <w:t xml:space="preserve">[Institution Name]</w:t>
      </w:r>
    </w:p>
    <w:p>
      <w:pPr>
        <w:spacing w:after="0" w:line="360"/>
        <w:jc w:val="center"/>
      </w:pPr>
      <w:r>
        <w:rPr>
          <w:rFonts w:ascii="Times New Roman" w:cs="Times New Roman" w:eastAsia="Times New Roman" w:hAnsi="Times New Roman"/>
          <w:sz w:val="24"/>
          <w:szCs w:val="24"/>
        </w:rPr>
        <w:t xml:space="preserve">[Instructor Name]</w:t>
      </w:r>
    </w:p>
    <w:p>
      <w:pPr>
        <w:spacing w:after="0" w:line="360"/>
        <w:jc w:val="center"/>
      </w:pPr>
      <w:r>
        <w:rPr>
          <w:rFonts w:ascii="Times New Roman" w:cs="Times New Roman" w:eastAsia="Times New Roman" w:hAnsi="Times New Roman"/>
          <w:sz w:val="24"/>
          <w:szCs w:val="24"/>
        </w:rPr>
        <w:t xml:space="preserve">June 5, 2026</w:t>
      </w:r>
    </w:p>
    <w:p>
      <w:pPr>
        <w:spacing w:after="0"/>
      </w:pPr>
      <w:r>
        <w:br/>
      </w:r>
    </w:p>
    <w:p>
      <w:pPr>
        <w:spacing w:after="160" w:line="360"/>
        <w:jc w:val="center"/>
      </w:pPr>
      <w:r>
        <w:rPr>
          <w:rFonts w:ascii="Times New Roman" w:cs="Times New Roman" w:eastAsia="Times New Roman" w:hAnsi="Times New Roman"/>
          <w:b/>
          <w:bCs/>
          <w:sz w:val="24"/>
          <w:szCs w:val="24"/>
        </w:rPr>
        <w:t xml:space="preserve">Abstract</w:t>
      </w:r>
    </w:p>
    <w:p>
      <w:pPr>
        <w:spacing w:after="160" w:line="360"/>
        <w:jc w:val="both"/>
      </w:pPr>
      <w:r>
        <w:rPr>
          <w:rFonts w:ascii="Times New Roman" w:cs="Times New Roman" w:eastAsia="Times New Roman" w:hAnsi="Times New Roman"/>
          <w:sz w:val="24"/>
          <w:szCs w:val="24"/>
        </w:rPr>
        <w:t xml:space="preserve">The integration of artificial intelligence into high-stakes domains such as healthcare demands a rigorous commitment to responsible AI (RAI) principles throughout every stage of model development. This paper examines how five core responsible AI principles—fairness, transparency, privacy and security, accountability, and human oversight—can and should be embedded within the model development life cycle (MDLC) of a hypothetical AI-powered healthcare diagnostic triage system. Using this use case as a lens, the paper discusses practical strategies for operationalizing RAI principles from problem definition through deployment and monitoring, identifies the real-world challenges that arise when theory meets practice, and explores opportunities and external resources available to practitioners. The analysis finds that while frameworks and toolkits exist to assist developers, structural, technical, and organizational barriers continue to impede consistent RAI implementation. The paper concludes that a proactive, lifecycle-wide approach to responsible AI is not only ethically imperative but also essential for building systems that earn and sustain public trust.</w:t>
      </w:r>
    </w:p>
    <w:p>
      <w:pPr>
        <w:spacing w:after="160" w:line="360"/>
        <w:ind w:left="720"/>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responsible AI, model development life cycle, fairness, transparency, accountability, healthcare AI, human oversight, privacy</w:t>
      </w:r>
    </w:p>
    <w:p>
      <w:pPr>
        <w:spacing w:after="0"/>
      </w:pPr>
      <w:r>
        <w:br/>
      </w:r>
    </w:p>
    <w:p>
      <w:pPr>
        <w:pStyle w:val="Heading1"/>
        <w:spacing w:after="160" w:before="480"/>
        <w:jc w:val="left"/>
      </w:pPr>
      <w:r>
        <w:rPr>
          <w:rFonts w:ascii="Times New Roman" w:cs="Times New Roman" w:eastAsia="Times New Roman" w:hAnsi="Times New Roman"/>
          <w:b/>
          <w:bCs/>
          <w:color w:val="000000"/>
          <w:sz w:val="28"/>
          <w:szCs w:val="28"/>
        </w:rPr>
        <w:t xml:space="preserve">Introduction</w:t>
      </w:r>
    </w:p>
    <w:p>
      <w:pPr>
        <w:pStyle w:val="Heading2"/>
        <w:spacing w:after="120" w:before="320"/>
        <w:jc w:val="left"/>
      </w:pPr>
      <w:r>
        <w:rPr>
          <w:rFonts w:ascii="Times New Roman" w:cs="Times New Roman" w:eastAsia="Times New Roman" w:hAnsi="Times New Roman"/>
          <w:b/>
          <w:bCs/>
          <w:color w:val="000000"/>
          <w:sz w:val="24"/>
          <w:szCs w:val="24"/>
        </w:rPr>
        <w:t xml:space="preserve">Use Case: AI-Powered Healthcare Diagnostic Triage System</w:t>
      </w:r>
    </w:p>
    <w:p>
      <w:pPr>
        <w:spacing w:after="160" w:line="360"/>
        <w:ind w:firstLine="720"/>
        <w:jc w:val="both"/>
      </w:pPr>
      <w:r>
        <w:rPr>
          <w:rFonts w:ascii="Times New Roman" w:cs="Times New Roman" w:eastAsia="Times New Roman" w:hAnsi="Times New Roman"/>
          <w:sz w:val="24"/>
          <w:szCs w:val="24"/>
        </w:rPr>
        <w:t xml:space="preserve">Artificial intelligence is rapidly reshaping healthcare delivery. To ground the concepts explored in this paper, consider a hypothetical machine learning application: an AI-powered diagnostic triage system for use in emergency departments (EDs). The system, tentatively called MedTriage-AI, would ingest patient data—including demographic information, chief complaints, vital signs, medical history, and insurance status—and produce a priority score that helps nursing staff determine which patients should be seen first. In busy urban emergency departments where patient volumes routinely exceed capacity, such a system could meaningfully reduce wait times and prevent adverse outcomes for critically ill patients.</w:t>
      </w:r>
    </w:p>
    <w:p>
      <w:pPr>
        <w:spacing w:after="160" w:line="360"/>
        <w:ind w:firstLine="720"/>
        <w:jc w:val="both"/>
      </w:pPr>
      <w:r>
        <w:rPr>
          <w:rFonts w:ascii="Times New Roman" w:cs="Times New Roman" w:eastAsia="Times New Roman" w:hAnsi="Times New Roman"/>
          <w:sz w:val="24"/>
          <w:szCs w:val="24"/>
        </w:rPr>
        <w:t xml:space="preserve">MedTriage-AI would be trained on historical ED records from a consortium of hospitals, then deployed as a decision-support tool integrated with each hospital's electronic health record (EHR) system. Clinicians would retain final authority over triage decisions, with the AI providing a suggested priority level and a brief explanation of key factors driving the recommendation. The system would be updated periodically as new patient outcome data becomes available. While the potential benefits are significant, the domain presents correspondingly high stakes: erroneous or biased outputs could result in delayed care, patient harm, or systemic discrimination against already marginalized groups.</w:t>
      </w:r>
    </w:p>
    <w:p>
      <w:pPr>
        <w:pStyle w:val="Heading2"/>
        <w:spacing w:after="120" w:before="320"/>
        <w:jc w:val="left"/>
      </w:pPr>
      <w:r>
        <w:rPr>
          <w:rFonts w:ascii="Times New Roman" w:cs="Times New Roman" w:eastAsia="Times New Roman" w:hAnsi="Times New Roman"/>
          <w:b/>
          <w:bCs/>
          <w:color w:val="000000"/>
          <w:sz w:val="24"/>
          <w:szCs w:val="24"/>
        </w:rPr>
        <w:t xml:space="preserve">The Model Development Life Cycle</w:t>
      </w:r>
    </w:p>
    <w:p>
      <w:pPr>
        <w:spacing w:after="160" w:line="360"/>
        <w:ind w:firstLine="720"/>
        <w:jc w:val="both"/>
      </w:pPr>
      <w:r>
        <w:rPr>
          <w:rFonts w:ascii="Times New Roman" w:cs="Times New Roman" w:eastAsia="Times New Roman" w:hAnsi="Times New Roman"/>
          <w:sz w:val="24"/>
          <w:szCs w:val="24"/>
        </w:rPr>
        <w:t xml:space="preserve">The model development life cycle (MDLC) provides a structured framework for building, deploying, and maintaining machine learning systems. While variations exist across organizations, a widely adopted version includes six primary stages: (1) problem definition and scoping, (2) data collection and preprocessing, (3) model design and development, (4) evaluation and validation, (5) deployment and integration, and (6) monitoring and maintenance (Géron, 2022). Each stage presents distinct technical and ethical challenges, and—critically—each offers opportunities to embed responsible AI principles before they become costly post-deployment problems. This paper examines how five key responsible AI principles can be applied at each of these stages in the context of MedTriage-AI, and discusses the broader challenges and opportunities that practitioners face in doing so.</w:t>
      </w:r>
    </w:p>
    <w:p>
      <w:pPr>
        <w:pStyle w:val="Heading1"/>
        <w:spacing w:after="160" w:before="480"/>
        <w:jc w:val="left"/>
      </w:pPr>
      <w:r>
        <w:rPr>
          <w:rFonts w:ascii="Times New Roman" w:cs="Times New Roman" w:eastAsia="Times New Roman" w:hAnsi="Times New Roman"/>
          <w:b/>
          <w:bCs/>
          <w:color w:val="000000"/>
          <w:sz w:val="28"/>
          <w:szCs w:val="28"/>
        </w:rPr>
        <w:t xml:space="preserve">Responsible AI Principles</w:t>
      </w:r>
    </w:p>
    <w:p>
      <w:pPr>
        <w:spacing w:after="160" w:line="360"/>
        <w:ind w:firstLine="720"/>
        <w:jc w:val="both"/>
      </w:pPr>
      <w:r>
        <w:rPr>
          <w:rFonts w:ascii="Times New Roman" w:cs="Times New Roman" w:eastAsia="Times New Roman" w:hAnsi="Times New Roman"/>
          <w:sz w:val="24"/>
          <w:szCs w:val="24"/>
        </w:rPr>
        <w:t xml:space="preserve">Responsible AI is not a single concept but a constellation of interconnected values and practices that, taken together, aim to ensure that AI systems are safe, beneficial, and aligned with human values. Scholars and standards bodies have proposed various frameworks, with considerable convergence around a core set of principles. This paper focuses on five principles that are especially salient for high-stakes systems like MedTriage-AI.</w:t>
      </w:r>
    </w:p>
    <w:p>
      <w:pPr>
        <w:pStyle w:val="Heading2"/>
        <w:spacing w:after="120" w:before="320"/>
        <w:jc w:val="left"/>
      </w:pPr>
      <w:r>
        <w:rPr>
          <w:rFonts w:ascii="Times New Roman" w:cs="Times New Roman" w:eastAsia="Times New Roman" w:hAnsi="Times New Roman"/>
          <w:b/>
          <w:bCs/>
          <w:color w:val="000000"/>
          <w:sz w:val="24"/>
          <w:szCs w:val="24"/>
        </w:rPr>
        <w:t xml:space="preserve">Fairness and Non-Discrimination</w:t>
      </w:r>
    </w:p>
    <w:p>
      <w:pPr>
        <w:spacing w:after="160" w:line="360"/>
        <w:ind w:firstLine="720"/>
        <w:jc w:val="both"/>
      </w:pPr>
      <w:r>
        <w:rPr>
          <w:rFonts w:ascii="Times New Roman" w:cs="Times New Roman" w:eastAsia="Times New Roman" w:hAnsi="Times New Roman"/>
          <w:sz w:val="24"/>
          <w:szCs w:val="24"/>
        </w:rPr>
        <w:t xml:space="preserve">Fairness in AI refers to the requirement that systems do not produce systematically biased or discriminatory outcomes across protected groups defined by race, gender, age, disability status, and similar characteristics (Barocas et al., 2023). Fairness is not a single, unified concept; researchers have identified dozens of mathematical definitions—such as demographic parity, equalized odds, and individual fairness—that can be in tension with one another. In a healthcare triage context, an unfair model might systematically under-prioritize patients from certain racial or socioeconomic groups due to biases embedded in historical training data. Given documented disparities in healthcare delivery in the United States and elsewhere, fairness is a paramount concern for any clinical AI system (Obermeyer et al., 2019).</w:t>
      </w:r>
    </w:p>
    <w:p>
      <w:pPr>
        <w:pStyle w:val="Heading2"/>
        <w:spacing w:after="120" w:before="320"/>
        <w:jc w:val="left"/>
      </w:pPr>
      <w:r>
        <w:rPr>
          <w:rFonts w:ascii="Times New Roman" w:cs="Times New Roman" w:eastAsia="Times New Roman" w:hAnsi="Times New Roman"/>
          <w:b/>
          <w:bCs/>
          <w:color w:val="000000"/>
          <w:sz w:val="24"/>
          <w:szCs w:val="24"/>
        </w:rPr>
        <w:t xml:space="preserve">Transparency and Explainability</w:t>
      </w:r>
    </w:p>
    <w:p>
      <w:pPr>
        <w:spacing w:after="160" w:line="360"/>
        <w:ind w:firstLine="720"/>
        <w:jc w:val="both"/>
      </w:pPr>
      <w:r>
        <w:rPr>
          <w:rFonts w:ascii="Times New Roman" w:cs="Times New Roman" w:eastAsia="Times New Roman" w:hAnsi="Times New Roman"/>
          <w:sz w:val="24"/>
          <w:szCs w:val="24"/>
        </w:rPr>
        <w:t xml:space="preserve">Transparency requires that AI systems, their development processes, and their outputs be understandable to relevant stakeholders, including developers, deployers, regulators, and affected individuals (Floridi et al., 2019). A closely related concept, explainability, refers specifically to the capacity of a model to provide comprehensible justifications for its outputs. In clinical settings, explainability is especially important: a "black box" triage score that clinicians cannot interrogate may be ignored, misused, or trusted inappropriately. Regulatory bodies such as the U.S. Food and Drug Administration (FDA) have increasingly emphasized the need for explainability in AI-based medical devices (U.S. Food and Drug Administration, 2021). Together, transparency and explainability build the evidentiary foundation for trust between AI systems and the humans who rely on them.</w:t>
      </w:r>
    </w:p>
    <w:p>
      <w:pPr>
        <w:pStyle w:val="Heading2"/>
        <w:spacing w:after="120" w:before="320"/>
        <w:jc w:val="left"/>
      </w:pPr>
      <w:r>
        <w:rPr>
          <w:rFonts w:ascii="Times New Roman" w:cs="Times New Roman" w:eastAsia="Times New Roman" w:hAnsi="Times New Roman"/>
          <w:b/>
          <w:bCs/>
          <w:color w:val="000000"/>
          <w:sz w:val="24"/>
          <w:szCs w:val="24"/>
        </w:rPr>
        <w:t xml:space="preserve">Privacy and Data Security</w:t>
      </w:r>
    </w:p>
    <w:p>
      <w:pPr>
        <w:spacing w:after="160" w:line="360"/>
        <w:ind w:firstLine="720"/>
        <w:jc w:val="both"/>
      </w:pPr>
      <w:r>
        <w:rPr>
          <w:rFonts w:ascii="Times New Roman" w:cs="Times New Roman" w:eastAsia="Times New Roman" w:hAnsi="Times New Roman"/>
          <w:sz w:val="24"/>
          <w:szCs w:val="24"/>
        </w:rPr>
        <w:t xml:space="preserve">Privacy in AI encompasses both the right of individuals to control their personal data and the technical obligation of organizations to protect that data from unauthorized access, misuse, and breach (Vayena et al., 2018). For MedTriage-AI, patient data—including health records, demographics, and treatment outcomes—is among the most sensitive information that exists. The U.S. Health Insurance Portability and Accountability Act (HIPAA) and analogous regulations internationally impose strict requirements on the collection, storage, and use of protected health information. Beyond legal compliance, privacy-preserving practices such as differential privacy, federated learning, and data minimization are increasingly recognized as best practices for responsible AI development in clinical contexts.</w:t>
      </w:r>
    </w:p>
    <w:p>
      <w:pPr>
        <w:pStyle w:val="Heading2"/>
        <w:spacing w:after="120" w:before="320"/>
        <w:jc w:val="left"/>
      </w:pPr>
      <w:r>
        <w:rPr>
          <w:rFonts w:ascii="Times New Roman" w:cs="Times New Roman" w:eastAsia="Times New Roman" w:hAnsi="Times New Roman"/>
          <w:b/>
          <w:bCs/>
          <w:color w:val="000000"/>
          <w:sz w:val="24"/>
          <w:szCs w:val="24"/>
        </w:rPr>
        <w:t xml:space="preserve">Accountability</w:t>
      </w:r>
    </w:p>
    <w:p>
      <w:pPr>
        <w:spacing w:after="160" w:line="360"/>
        <w:ind w:firstLine="720"/>
        <w:jc w:val="both"/>
      </w:pPr>
      <w:r>
        <w:rPr>
          <w:rFonts w:ascii="Times New Roman" w:cs="Times New Roman" w:eastAsia="Times New Roman" w:hAnsi="Times New Roman"/>
          <w:sz w:val="24"/>
          <w:szCs w:val="24"/>
        </w:rPr>
        <w:t xml:space="preserve">Accountability in AI means that individuals, teams, and organizations involved in the development and deployment of AI systems can be held responsible for those systems' behavior and outcomes (Doshi-Velez et al., 2017). In practice, accountability requires clear governance structures, audit trails, documentation, and mechanisms for redress when harms occur. For clinical AI, accountability must span multiple actors: data providers, model developers, clinical staff, hospital administrators, and technology vendors. Establishing who is responsible for what—and under what circumstances—is essential for building systems in which affected parties can meaningfully seek recourse.</w:t>
      </w:r>
    </w:p>
    <w:p>
      <w:pPr>
        <w:pStyle w:val="Heading2"/>
        <w:spacing w:after="120" w:before="320"/>
        <w:jc w:val="left"/>
      </w:pPr>
      <w:r>
        <w:rPr>
          <w:rFonts w:ascii="Times New Roman" w:cs="Times New Roman" w:eastAsia="Times New Roman" w:hAnsi="Times New Roman"/>
          <w:b/>
          <w:bCs/>
          <w:color w:val="000000"/>
          <w:sz w:val="24"/>
          <w:szCs w:val="24"/>
        </w:rPr>
        <w:t xml:space="preserve">Human Oversight and Control</w:t>
      </w:r>
    </w:p>
    <w:p>
      <w:pPr>
        <w:spacing w:after="160" w:line="360"/>
        <w:ind w:firstLine="720"/>
        <w:jc w:val="both"/>
      </w:pPr>
      <w:r>
        <w:rPr>
          <w:rFonts w:ascii="Times New Roman" w:cs="Times New Roman" w:eastAsia="Times New Roman" w:hAnsi="Times New Roman"/>
          <w:sz w:val="24"/>
          <w:szCs w:val="24"/>
        </w:rPr>
        <w:t xml:space="preserve">Human oversight refers to the principle that AI systems, particularly in high-stakes domains, should be subject to meaningful human supervision and should preserve the capacity for human intervention when necessary (Mittelstadt et al., 2016). The concept encompasses both procedural safeguards (e.g., requiring clinician sign-off before AI recommendations take effect) and design choices (e.g., avoiding automation bias by ensuring the system's outputs are framed as recommendations, not directives). The European Union's AI Act, which began phasing in requirements for high-risk AI systems in 2024 and 2025, explicitly mandates human oversight for applications in healthcare settings (European Parliament, 2024). Human oversight does not imply that AI systems should never act autonomously, but rather that the degree of autonomy should be commensurate with demonstrated reliability and contextual stakes.</w:t>
      </w:r>
    </w:p>
    <w:p>
      <w:pPr>
        <w:pStyle w:val="Heading1"/>
        <w:spacing w:after="160" w:before="480"/>
        <w:jc w:val="left"/>
      </w:pPr>
      <w:r>
        <w:rPr>
          <w:rFonts w:ascii="Times New Roman" w:cs="Times New Roman" w:eastAsia="Times New Roman" w:hAnsi="Times New Roman"/>
          <w:b/>
          <w:bCs/>
          <w:color w:val="000000"/>
          <w:sz w:val="28"/>
          <w:szCs w:val="28"/>
        </w:rPr>
        <w:t xml:space="preserve">Use Case: Applying Responsible AI to MedTriage-AI</w:t>
      </w:r>
    </w:p>
    <w:p>
      <w:pPr>
        <w:pStyle w:val="Heading2"/>
        <w:spacing w:after="120" w:before="320"/>
        <w:jc w:val="left"/>
      </w:pPr>
      <w:r>
        <w:rPr>
          <w:rFonts w:ascii="Times New Roman" w:cs="Times New Roman" w:eastAsia="Times New Roman" w:hAnsi="Times New Roman"/>
          <w:b/>
          <w:bCs/>
          <w:color w:val="000000"/>
          <w:sz w:val="24"/>
          <w:szCs w:val="24"/>
        </w:rPr>
        <w:t xml:space="preserve">Stage 1: Problem Definition and Scoping</w:t>
      </w:r>
    </w:p>
    <w:p>
      <w:pPr>
        <w:spacing w:after="160" w:line="360"/>
        <w:ind w:firstLine="720"/>
        <w:jc w:val="both"/>
      </w:pPr>
      <w:r>
        <w:rPr>
          <w:rFonts w:ascii="Times New Roman" w:cs="Times New Roman" w:eastAsia="Times New Roman" w:hAnsi="Times New Roman"/>
          <w:sz w:val="24"/>
          <w:szCs w:val="24"/>
        </w:rPr>
        <w:t xml:space="preserve">The first stage of the MDLC is where responsible AI must begin. At this stage, the development team defines the problem to be solved, identifies the intended use case, sets success criteria, and assesses the scope of potential impacts. For MedTriage-AI, embedding responsible AI at this stage involves several concrete steps.</w:t>
      </w:r>
    </w:p>
    <w:p>
      <w:pPr>
        <w:spacing w:after="160" w:line="360"/>
        <w:ind w:firstLine="720"/>
        <w:jc w:val="both"/>
      </w:pPr>
      <w:r>
        <w:rPr>
          <w:rFonts w:ascii="Times New Roman" w:cs="Times New Roman" w:eastAsia="Times New Roman" w:hAnsi="Times New Roman"/>
          <w:sz w:val="24"/>
          <w:szCs w:val="24"/>
        </w:rPr>
        <w:t xml:space="preserve">Fairness considerations should begin with a careful analysis of the population the system will serve. Who are the patients in the emergency departments where the model will be deployed? What disparities already exist in care delivery, and how might the model amplify or ameliorate them? Defining fairness criteria—such as requiring that the model achieve equalized false-negative rates across demographic groups—before a single line of code is written establishes a measurable commitment that can guide all subsequent decisions (Barocas et al., 2023).</w:t>
      </w:r>
    </w:p>
    <w:p>
      <w:pPr>
        <w:spacing w:after="160" w:line="360"/>
        <w:ind w:firstLine="720"/>
        <w:jc w:val="both"/>
      </w:pPr>
      <w:r>
        <w:rPr>
          <w:rFonts w:ascii="Times New Roman" w:cs="Times New Roman" w:eastAsia="Times New Roman" w:hAnsi="Times New Roman"/>
          <w:sz w:val="24"/>
          <w:szCs w:val="24"/>
        </w:rPr>
        <w:t xml:space="preserve">Accountability is also established at this stage through governance. The development team should identify an interdisciplinary oversight committee including clinicians, ethicists, patient advocates, and data scientists. Roles and responsibilities for each stage of the lifecycle should be documented in a model card or system card—a structured artifact that captures the model's intended use, limitations, and ethical considerations (Mitchell et al., 2019).</w:t>
      </w:r>
    </w:p>
    <w:p>
      <w:pPr>
        <w:pStyle w:val="Heading2"/>
        <w:spacing w:after="120" w:before="320"/>
        <w:jc w:val="left"/>
      </w:pPr>
      <w:r>
        <w:rPr>
          <w:rFonts w:ascii="Times New Roman" w:cs="Times New Roman" w:eastAsia="Times New Roman" w:hAnsi="Times New Roman"/>
          <w:b/>
          <w:bCs/>
          <w:color w:val="000000"/>
          <w:sz w:val="24"/>
          <w:szCs w:val="24"/>
        </w:rPr>
        <w:t xml:space="preserve">Stage 2: Data Collection and Preprocessing</w:t>
      </w:r>
    </w:p>
    <w:p>
      <w:pPr>
        <w:spacing w:after="160" w:line="360"/>
        <w:ind w:firstLine="720"/>
        <w:jc w:val="both"/>
      </w:pPr>
      <w:r>
        <w:rPr>
          <w:rFonts w:ascii="Times New Roman" w:cs="Times New Roman" w:eastAsia="Times New Roman" w:hAnsi="Times New Roman"/>
          <w:sz w:val="24"/>
          <w:szCs w:val="24"/>
        </w:rPr>
        <w:t xml:space="preserve">The second stage is perhaps the most consequential for fairness. Historical ED records reflect past clinical decisions that may themselves have been biased. If certain demographic groups historically received lower-quality care, a model trained naively on those records will learn to replicate that disparity. To address this, the MedTriage-AI team should conduct a thorough data audit before training begins, examining the distribution of outcomes across demographic groups and flagging potential proxies for protected characteristics—such as insurance status or zip code—that may introduce discriminatory correlations.</w:t>
      </w:r>
    </w:p>
    <w:p>
      <w:pPr>
        <w:spacing w:after="160" w:line="360"/>
        <w:ind w:firstLine="720"/>
        <w:jc w:val="both"/>
      </w:pPr>
      <w:r>
        <w:rPr>
          <w:rFonts w:ascii="Times New Roman" w:cs="Times New Roman" w:eastAsia="Times New Roman" w:hAnsi="Times New Roman"/>
          <w:sz w:val="24"/>
          <w:szCs w:val="24"/>
        </w:rPr>
        <w:t xml:space="preserve">Privacy protections are also primarily implemented at this stage. The team should apply data minimization principles, collecting only the variables that are genuinely necessary for the model's predictive task. De-identification of patient records, consistent with HIPAA safe harbor standards, should be implemented prior to any model training. Where feasible, federated learning architectures—in which the model is trained locally at each hospital site without raw patient data leaving the site—can substantially reduce privacy risk (Rieke et al., 2020).</w:t>
      </w:r>
    </w:p>
    <w:p>
      <w:pPr>
        <w:spacing w:after="160" w:line="360"/>
        <w:ind w:firstLine="720"/>
        <w:jc w:val="both"/>
      </w:pPr>
      <w:r>
        <w:rPr>
          <w:rFonts w:ascii="Times New Roman" w:cs="Times New Roman" w:eastAsia="Times New Roman" w:hAnsi="Times New Roman"/>
          <w:sz w:val="24"/>
          <w:szCs w:val="24"/>
        </w:rPr>
        <w:t xml:space="preserve">Transparency at the data stage involves maintaining detailed documentation of data provenance: where the data came from, what preprocessing steps were applied, and what known limitations exist. This documentation will be essential for later evaluation and for external audits.</w:t>
      </w:r>
    </w:p>
    <w:p>
      <w:pPr>
        <w:pStyle w:val="Heading2"/>
        <w:spacing w:after="120" w:before="320"/>
        <w:jc w:val="left"/>
      </w:pPr>
      <w:r>
        <w:rPr>
          <w:rFonts w:ascii="Times New Roman" w:cs="Times New Roman" w:eastAsia="Times New Roman" w:hAnsi="Times New Roman"/>
          <w:b/>
          <w:bCs/>
          <w:color w:val="000000"/>
          <w:sz w:val="24"/>
          <w:szCs w:val="24"/>
        </w:rPr>
        <w:t xml:space="preserve">Stage 3: Model Design and Development</w:t>
      </w:r>
    </w:p>
    <w:p>
      <w:pPr>
        <w:spacing w:after="160" w:line="360"/>
        <w:ind w:firstLine="720"/>
        <w:jc w:val="both"/>
      </w:pPr>
      <w:r>
        <w:rPr>
          <w:rFonts w:ascii="Times New Roman" w:cs="Times New Roman" w:eastAsia="Times New Roman" w:hAnsi="Times New Roman"/>
          <w:sz w:val="24"/>
          <w:szCs w:val="24"/>
        </w:rPr>
        <w:t xml:space="preserve">During model design, the development team selects algorithms, defines model architecture, and builds the system. For MedTriage-AI, model choice has direct implications for both transparency and fairness. Highly complex models such as deep neural networks may achieve higher predictive accuracy but are harder to explain than simpler alternatives such as gradient-boosted trees or logistic regression (Rudin, 2019). The team should carefully evaluate whether the accuracy gains of a more complex model justify the loss of explainability in a clinical context where clinicians need to understand and trust the system's outputs.</w:t>
      </w:r>
    </w:p>
    <w:p>
      <w:pPr>
        <w:spacing w:after="160" w:line="360"/>
        <w:ind w:firstLine="720"/>
        <w:jc w:val="both"/>
      </w:pPr>
      <w:r>
        <w:rPr>
          <w:rFonts w:ascii="Times New Roman" w:cs="Times New Roman" w:eastAsia="Times New Roman" w:hAnsi="Times New Roman"/>
          <w:sz w:val="24"/>
          <w:szCs w:val="24"/>
        </w:rPr>
        <w:t xml:space="preserve">Explainability techniques such as SHAP (SHapley Additive exPlanations) and LIME (Local Interpretable Model-Agnostic Explanations) can be applied to generate feature-level explanations of individual predictions (Lundberg &amp; Lee, 2017). These techniques should be integrated into the system's user interface so that clinicians can see, for any given patient, which factors most influenced the triage recommendation. The output should be presented in clinical language, not technical jargon.</w:t>
      </w:r>
    </w:p>
    <w:p>
      <w:pPr>
        <w:spacing w:after="160" w:line="360"/>
        <w:ind w:firstLine="720"/>
        <w:jc w:val="both"/>
      </w:pPr>
      <w:r>
        <w:rPr>
          <w:rFonts w:ascii="Times New Roman" w:cs="Times New Roman" w:eastAsia="Times New Roman" w:hAnsi="Times New Roman"/>
          <w:sz w:val="24"/>
          <w:szCs w:val="24"/>
        </w:rPr>
        <w:t xml:space="preserve">At this stage, fairness constraints can also be incorporated directly into the training process through algorithmic techniques such as adversarial debiasing, reweighting of training samples, or constrained optimization approaches that penalize demographic disparities in the objective function (Barocas et al., 2023).</w:t>
      </w:r>
    </w:p>
    <w:p>
      <w:pPr>
        <w:pStyle w:val="Heading2"/>
        <w:spacing w:after="120" w:before="320"/>
        <w:jc w:val="left"/>
      </w:pPr>
      <w:r>
        <w:rPr>
          <w:rFonts w:ascii="Times New Roman" w:cs="Times New Roman" w:eastAsia="Times New Roman" w:hAnsi="Times New Roman"/>
          <w:b/>
          <w:bCs/>
          <w:color w:val="000000"/>
          <w:sz w:val="24"/>
          <w:szCs w:val="24"/>
        </w:rPr>
        <w:t xml:space="preserve">Stage 4: Evaluation and Validation</w:t>
      </w:r>
    </w:p>
    <w:p>
      <w:pPr>
        <w:spacing w:after="160" w:line="360"/>
        <w:ind w:firstLine="720"/>
        <w:jc w:val="both"/>
      </w:pPr>
      <w:r>
        <w:rPr>
          <w:rFonts w:ascii="Times New Roman" w:cs="Times New Roman" w:eastAsia="Times New Roman" w:hAnsi="Times New Roman"/>
          <w:sz w:val="24"/>
          <w:szCs w:val="24"/>
        </w:rPr>
        <w:t xml:space="preserve">Evaluation is where responsible AI principles are empirically tested. For MedTriage-AI, a responsible evaluation protocol requires disaggregated performance metrics: the model's accuracy, sensitivity, specificity, and error rates should be reported not only in aggregate but separately for each demographic subgroup of interest. If the model performs significantly worse for certain groups, this should be treated as a failure requiring remediation before deployment, not a known limitation to be disclosed after the fact.</w:t>
      </w:r>
    </w:p>
    <w:p>
      <w:pPr>
        <w:spacing w:after="160" w:line="360"/>
        <w:ind w:firstLine="720"/>
        <w:jc w:val="both"/>
      </w:pPr>
      <w:r>
        <w:rPr>
          <w:rFonts w:ascii="Times New Roman" w:cs="Times New Roman" w:eastAsia="Times New Roman" w:hAnsi="Times New Roman"/>
          <w:sz w:val="24"/>
          <w:szCs w:val="24"/>
        </w:rPr>
        <w:t xml:space="preserve">Human oversight evaluation involves clinical simulation testing. Clinicians should interact with the system in realistic but controlled scenarios to assess whether the AI's recommendations improve, degrade, or do not significantly affect their decision-making. Studies of automation bias—the tendency to over-rely on automated systems even when they are wrong—suggest that the interface design itself can significantly shape how clinicians respond to AI recommendations (Goddard et al., 2012). Evaluation should include scenarios where the AI is intentionally wrong to assess whether clinicians appropriately override it.</w:t>
      </w:r>
    </w:p>
    <w:p>
      <w:pPr>
        <w:spacing w:after="160" w:line="360"/>
        <w:ind w:firstLine="720"/>
        <w:jc w:val="both"/>
      </w:pPr>
      <w:r>
        <w:rPr>
          <w:rFonts w:ascii="Times New Roman" w:cs="Times New Roman" w:eastAsia="Times New Roman" w:hAnsi="Times New Roman"/>
          <w:sz w:val="24"/>
          <w:szCs w:val="24"/>
        </w:rPr>
        <w:t xml:space="preserve">Accountability at the evaluation stage requires independent validation. Ideally, the model should be evaluated by a team with no stake in positive results, using a held-out test set that was not accessible during development. External audit by a third-party organization can provide additional assurance (Doshi-Velez et al., 2017).</w:t>
      </w:r>
    </w:p>
    <w:p>
      <w:pPr>
        <w:pStyle w:val="Heading2"/>
        <w:spacing w:after="120" w:before="320"/>
        <w:jc w:val="left"/>
      </w:pPr>
      <w:r>
        <w:rPr>
          <w:rFonts w:ascii="Times New Roman" w:cs="Times New Roman" w:eastAsia="Times New Roman" w:hAnsi="Times New Roman"/>
          <w:b/>
          <w:bCs/>
          <w:color w:val="000000"/>
          <w:sz w:val="24"/>
          <w:szCs w:val="24"/>
        </w:rPr>
        <w:t xml:space="preserve">Stage 5: Deployment and Integration</w:t>
      </w:r>
    </w:p>
    <w:p>
      <w:pPr>
        <w:spacing w:after="160" w:line="360"/>
        <w:ind w:firstLine="720"/>
        <w:jc w:val="both"/>
      </w:pPr>
      <w:r>
        <w:rPr>
          <w:rFonts w:ascii="Times New Roman" w:cs="Times New Roman" w:eastAsia="Times New Roman" w:hAnsi="Times New Roman"/>
          <w:sz w:val="24"/>
          <w:szCs w:val="24"/>
        </w:rPr>
        <w:t xml:space="preserve">Deployment introduces real-world complexity that controlled evaluations cannot fully anticipate. For MedTriage-AI, responsible deployment begins with a phased rollout: the system should initially be deployed in a limited number of sites, with close monitoring, before broader implementation. This allows the team to identify unexpected issues—such as poor integration with a specific EHR system or unanticipated demographic shifts in patient population—before they affect a large number of patients.</w:t>
      </w:r>
    </w:p>
    <w:p>
      <w:pPr>
        <w:spacing w:after="160" w:line="360"/>
        <w:ind w:firstLine="720"/>
        <w:jc w:val="both"/>
      </w:pPr>
      <w:r>
        <w:rPr>
          <w:rFonts w:ascii="Times New Roman" w:cs="Times New Roman" w:eastAsia="Times New Roman" w:hAnsi="Times New Roman"/>
          <w:sz w:val="24"/>
          <w:szCs w:val="24"/>
        </w:rPr>
        <w:t xml:space="preserve">Human oversight mechanisms must be built into the user interface from the outset. The system should make it easy for clinicians to override the AI's recommendation and should require a brief justification when they do so. These override logs serve dual purposes: they provide accountability data for audits, and they generate training signal for future model updates. The system should be explicitly framed as a decision-support tool, with clear communication to all clinical staff that final triage authority rests with the human clinician.</w:t>
      </w:r>
    </w:p>
    <w:p>
      <w:pPr>
        <w:spacing w:after="160" w:line="360"/>
        <w:ind w:firstLine="720"/>
        <w:jc w:val="both"/>
      </w:pPr>
      <w:r>
        <w:rPr>
          <w:rFonts w:ascii="Times New Roman" w:cs="Times New Roman" w:eastAsia="Times New Roman" w:hAnsi="Times New Roman"/>
          <w:sz w:val="24"/>
          <w:szCs w:val="24"/>
        </w:rPr>
        <w:t xml:space="preserve">Privacy protections at deployment include role-based access controls to ensure that only authorized personnel can access AI outputs and the underlying patient data, as well as audit logging of all system interactions.</w:t>
      </w:r>
    </w:p>
    <w:p>
      <w:pPr>
        <w:pStyle w:val="Heading2"/>
        <w:spacing w:after="120" w:before="320"/>
        <w:jc w:val="left"/>
      </w:pPr>
      <w:r>
        <w:rPr>
          <w:rFonts w:ascii="Times New Roman" w:cs="Times New Roman" w:eastAsia="Times New Roman" w:hAnsi="Times New Roman"/>
          <w:b/>
          <w:bCs/>
          <w:color w:val="000000"/>
          <w:sz w:val="24"/>
          <w:szCs w:val="24"/>
        </w:rPr>
        <w:t xml:space="preserve">Stage 6: Monitoring and Maintenance</w:t>
      </w:r>
    </w:p>
    <w:p>
      <w:pPr>
        <w:spacing w:after="160" w:line="360"/>
        <w:ind w:firstLine="720"/>
        <w:jc w:val="both"/>
      </w:pPr>
      <w:r>
        <w:rPr>
          <w:rFonts w:ascii="Times New Roman" w:cs="Times New Roman" w:eastAsia="Times New Roman" w:hAnsi="Times New Roman"/>
          <w:sz w:val="24"/>
          <w:szCs w:val="24"/>
        </w:rPr>
        <w:t xml:space="preserve">A responsible AI system is never truly finished. Ongoing monitoring is essential to detect model degradation, emerging biases, and unanticipated harms. For MedTriage-AI, a monitoring dashboard should track key performance and fairness metrics in near-real-time, flagging statistically significant deviations from baseline for human review. Concept drift—the phenomenon whereby the statistical relationship between inputs and outcomes changes over time—is especially relevant in healthcare settings, where patient populations, disease patterns, and clinical practices evolve continuously.</w:t>
      </w:r>
    </w:p>
    <w:p>
      <w:pPr>
        <w:spacing w:after="160" w:line="360"/>
        <w:ind w:firstLine="720"/>
        <w:jc w:val="both"/>
      </w:pPr>
      <w:r>
        <w:rPr>
          <w:rFonts w:ascii="Times New Roman" w:cs="Times New Roman" w:eastAsia="Times New Roman" w:hAnsi="Times New Roman"/>
          <w:sz w:val="24"/>
          <w:szCs w:val="24"/>
        </w:rPr>
        <w:t xml:space="preserve">Accountability at this stage requires a clear escalation protocol: who is notified when a problem is detected, what investigative steps are taken, and under what conditions the system is suspended pending remediation. These protocols should be documented in advance and rehearsed through tabletop exercises. Periodic model recertification—in which the system is re-evaluated against current data and updated fairness criteria—should be scheduled as a routine maintenance activity, not an exception.</w:t>
      </w:r>
    </w:p>
    <w:p>
      <w:pPr>
        <w:pStyle w:val="Heading1"/>
        <w:spacing w:after="160" w:before="480"/>
        <w:jc w:val="left"/>
      </w:pPr>
      <w:r>
        <w:rPr>
          <w:rFonts w:ascii="Times New Roman" w:cs="Times New Roman" w:eastAsia="Times New Roman" w:hAnsi="Times New Roman"/>
          <w:b/>
          <w:bCs/>
          <w:color w:val="000000"/>
          <w:sz w:val="28"/>
          <w:szCs w:val="28"/>
        </w:rPr>
        <w:t xml:space="preserve">Opportunities and Challenges</w:t>
      </w:r>
    </w:p>
    <w:p>
      <w:pPr>
        <w:pStyle w:val="Heading2"/>
        <w:spacing w:after="120" w:before="320"/>
        <w:jc w:val="left"/>
      </w:pPr>
      <w:r>
        <w:rPr>
          <w:rFonts w:ascii="Times New Roman" w:cs="Times New Roman" w:eastAsia="Times New Roman" w:hAnsi="Times New Roman"/>
          <w:b/>
          <w:bCs/>
          <w:color w:val="000000"/>
          <w:sz w:val="24"/>
          <w:szCs w:val="24"/>
        </w:rPr>
        <w:t xml:space="preserve">Challenges in Applying Responsible AI</w:t>
      </w:r>
    </w:p>
    <w:p>
      <w:pPr>
        <w:spacing w:after="160" w:line="360"/>
        <w:ind w:firstLine="720"/>
        <w:jc w:val="both"/>
      </w:pPr>
      <w:r>
        <w:rPr>
          <w:rFonts w:ascii="Times New Roman" w:cs="Times New Roman" w:eastAsia="Times New Roman" w:hAnsi="Times New Roman"/>
          <w:sz w:val="24"/>
          <w:szCs w:val="24"/>
        </w:rPr>
        <w:t xml:space="preserve">Despite the availability of frameworks and guidelines, operationalizing responsible AI in practice faces substantial barriers. Several key challenges are particularly relevant to a system like MedTriage-AI.</w:t>
      </w:r>
    </w:p>
    <w:p>
      <w:pPr>
        <w:spacing w:after="160" w:line="360"/>
        <w:ind w:firstLine="720"/>
        <w:jc w:val="both"/>
      </w:pPr>
      <w:r>
        <w:rPr>
          <w:rFonts w:ascii="Times New Roman" w:cs="Times New Roman" w:eastAsia="Times New Roman" w:hAnsi="Times New Roman"/>
          <w:sz w:val="24"/>
          <w:szCs w:val="24"/>
        </w:rPr>
        <w:t xml:space="preserve">Data quality and availability present persistent obstacles to fairness. Historical clinical data is often incomplete, inconsistently recorded, and unrepresentative of vulnerable populations. Patients without health insurance, for example, may have sparser records than insured patients, potentially reducing model performance for that group (Obermeyer et al., 2019). Addressing these gaps requires substantial data curation effort and, in some cases, targeted data collection from underrepresented populations—both of which are resource-intensive.</w:t>
      </w:r>
    </w:p>
    <w:p>
      <w:pPr>
        <w:spacing w:after="160" w:line="360"/>
        <w:ind w:firstLine="720"/>
        <w:jc w:val="both"/>
      </w:pPr>
      <w:r>
        <w:rPr>
          <w:rFonts w:ascii="Times New Roman" w:cs="Times New Roman" w:eastAsia="Times New Roman" w:hAnsi="Times New Roman"/>
          <w:sz w:val="24"/>
          <w:szCs w:val="24"/>
        </w:rPr>
        <w:t xml:space="preserve">Definitional tensions in fairness create difficult tradeoffs. As Barocas et al. (2023) demonstrate, many common mathematical definitions of fairness are mutually incompatible: a model optimized for demographic parity will often violate equalized odds, and vice versa. Choosing among fairness definitions is ultimately a value judgment, not a technical question, yet these decisions are often made implicitly by developers rather than explicitly in consultation with affected communities.</w:t>
      </w:r>
    </w:p>
    <w:p>
      <w:pPr>
        <w:spacing w:after="160" w:line="360"/>
        <w:ind w:firstLine="720"/>
        <w:jc w:val="both"/>
      </w:pPr>
      <w:r>
        <w:rPr>
          <w:rFonts w:ascii="Times New Roman" w:cs="Times New Roman" w:eastAsia="Times New Roman" w:hAnsi="Times New Roman"/>
          <w:sz w:val="24"/>
          <w:szCs w:val="24"/>
        </w:rPr>
        <w:t xml:space="preserve">Explainability and accuracy tensions are particularly acute in complex clinical settings. The most accurate models are often the least interpretable, and vice versa. In a high-stakes domain like emergency triage, developers face a genuine dilemma: a marginally more accurate model may save lives, but if clinicians cannot understand or trust it, they may ignore it, negating its benefits (Rudin, 2019). There is no universally correct answer; context-specific judgment is required.</w:t>
      </w:r>
    </w:p>
    <w:p>
      <w:pPr>
        <w:spacing w:after="160" w:line="360"/>
        <w:ind w:firstLine="720"/>
        <w:jc w:val="both"/>
      </w:pPr>
      <w:r>
        <w:rPr>
          <w:rFonts w:ascii="Times New Roman" w:cs="Times New Roman" w:eastAsia="Times New Roman" w:hAnsi="Times New Roman"/>
          <w:sz w:val="24"/>
          <w:szCs w:val="24"/>
        </w:rPr>
        <w:t xml:space="preserve">Organizational and cultural barriers frequently impede responsible AI implementation. Many healthcare organizations lack dedicated AI ethics expertise, and the incentive structures of hospital systems do not consistently reward responsible AI practices. Clinicians may resist AI tools if they feel those tools undermine their professional authority or if they lack confidence in how the system was developed (Topol, 2019). Building the interdisciplinary relationships and organizational cultures necessary for responsible AI requires sustained investment.</w:t>
      </w:r>
    </w:p>
    <w:p>
      <w:pPr>
        <w:spacing w:after="160" w:line="360"/>
        <w:ind w:firstLine="720"/>
        <w:jc w:val="both"/>
      </w:pPr>
      <w:r>
        <w:rPr>
          <w:rFonts w:ascii="Times New Roman" w:cs="Times New Roman" w:eastAsia="Times New Roman" w:hAnsi="Times New Roman"/>
          <w:sz w:val="24"/>
          <w:szCs w:val="24"/>
        </w:rPr>
        <w:t xml:space="preserve">Regulatory uncertainty presents additional challenges. While the EU AI Act and FDA guidance on AI-based medical devices have clarified some requirements, the regulatory landscape continues to evolve rapidly. Organizations must invest in legal and compliance expertise to keep pace with regulatory change, and may face compliance obligations that are unclear or potentially conflicting across jurisdictions.</w:t>
      </w:r>
    </w:p>
    <w:p>
      <w:pPr>
        <w:pStyle w:val="Heading2"/>
        <w:spacing w:after="120" w:before="320"/>
        <w:jc w:val="left"/>
      </w:pPr>
      <w:r>
        <w:rPr>
          <w:rFonts w:ascii="Times New Roman" w:cs="Times New Roman" w:eastAsia="Times New Roman" w:hAnsi="Times New Roman"/>
          <w:b/>
          <w:bCs/>
          <w:color w:val="000000"/>
          <w:sz w:val="24"/>
          <w:szCs w:val="24"/>
        </w:rPr>
        <w:t xml:space="preserve">Opportunities and External Resources</w:t>
      </w:r>
    </w:p>
    <w:p>
      <w:pPr>
        <w:spacing w:after="160" w:line="360"/>
        <w:ind w:firstLine="720"/>
        <w:jc w:val="both"/>
      </w:pPr>
      <w:r>
        <w:rPr>
          <w:rFonts w:ascii="Times New Roman" w:cs="Times New Roman" w:eastAsia="Times New Roman" w:hAnsi="Times New Roman"/>
          <w:sz w:val="24"/>
          <w:szCs w:val="24"/>
        </w:rPr>
        <w:t xml:space="preserve">Despite these challenges, a growing ecosystem of tools, frameworks, and communities is available to support practitioners.</w:t>
      </w:r>
    </w:p>
    <w:p>
      <w:pPr>
        <w:spacing w:after="160" w:line="360"/>
        <w:ind w:firstLine="720"/>
        <w:jc w:val="both"/>
      </w:pPr>
      <w:r>
        <w:rPr>
          <w:rFonts w:ascii="Times New Roman" w:cs="Times New Roman" w:eastAsia="Times New Roman" w:hAnsi="Times New Roman"/>
          <w:sz w:val="24"/>
          <w:szCs w:val="24"/>
        </w:rPr>
        <w:t xml:space="preserve">Open-source fairness toolkits provide practical resources for implementing and evaluating fairness at multiple stages of the MDLC. IBM's AI Fairness 360 (AIF360) offers a comprehensive library of fairness metrics and bias mitigation algorithms compatible with common machine learning frameworks (Bellamy et al., 2019). Microsoft's Fairlearn and Google's What-If Tool offer complementary capabilities for exploring model behavior across subgroups. These tools lower the technical barrier to fairness evaluation and can be integrated into existing development workflows.</w:t>
      </w:r>
    </w:p>
    <w:p>
      <w:pPr>
        <w:spacing w:after="160" w:line="360"/>
        <w:ind w:firstLine="720"/>
        <w:jc w:val="both"/>
      </w:pPr>
      <w:r>
        <w:rPr>
          <w:rFonts w:ascii="Times New Roman" w:cs="Times New Roman" w:eastAsia="Times New Roman" w:hAnsi="Times New Roman"/>
          <w:sz w:val="24"/>
          <w:szCs w:val="24"/>
        </w:rPr>
        <w:t xml:space="preserve">Explainability libraries such as SHAP and LIME are mature, widely adopted, and well-documented (Lundberg &amp; Lee, 2017). The development team for MedTriage-AI could use SHAP values to generate per-patient, feature-level explanations that meet both regulatory and clinical needs. Visualization libraries can render these explanations in intuitive formats accessible to clinicians without data science backgrounds.</w:t>
      </w:r>
    </w:p>
    <w:p>
      <w:pPr>
        <w:spacing w:after="160" w:line="360"/>
        <w:ind w:firstLine="720"/>
        <w:jc w:val="both"/>
      </w:pPr>
      <w:r>
        <w:rPr>
          <w:rFonts w:ascii="Times New Roman" w:cs="Times New Roman" w:eastAsia="Times New Roman" w:hAnsi="Times New Roman"/>
          <w:sz w:val="24"/>
          <w:szCs w:val="24"/>
        </w:rPr>
        <w:t xml:space="preserve">Privacy-enhancing technologies (PETs) offer technical solutions to privacy challenges. Federated learning frameworks such as TensorFlow Federated and PySyft enable model training across distributed hospital data without centralizing raw patient records (Rieke et al., 2020). Differential privacy libraries such as Google's DP library allow developers to add calibrated noise to model outputs or training processes, providing mathematical privacy guarantees. These technologies are increasingly mature and are being adopted in real-world healthcare AI projects.</w:t>
      </w:r>
    </w:p>
    <w:p>
      <w:pPr>
        <w:spacing w:after="160" w:line="360"/>
        <w:ind w:firstLine="720"/>
        <w:jc w:val="both"/>
      </w:pPr>
      <w:r>
        <w:rPr>
          <w:rFonts w:ascii="Times New Roman" w:cs="Times New Roman" w:eastAsia="Times New Roman" w:hAnsi="Times New Roman"/>
          <w:sz w:val="24"/>
          <w:szCs w:val="24"/>
        </w:rPr>
        <w:t xml:space="preserve">Governance frameworks and standards bodies provide authoritative guidance. The National Institute of Standards and Technology (NIST) AI Risk Management Framework (AI RMF), released in 2023, offers a structured approach to identifying, assessing, and managing AI risks that can be directly applied to the MedTriage-AI lifecycle (NIST, 2023). The World Health Organization's guidance on ethics and governance of AI for health provides domain-specific principles for clinical AI developers (World Health Organization, 2021). ISO/IEC standards on AI are also emerging as reference points for organizations seeking to demonstrate responsible AI practices.</w:t>
      </w:r>
    </w:p>
    <w:p>
      <w:pPr>
        <w:spacing w:after="160" w:line="360"/>
        <w:ind w:firstLine="720"/>
        <w:jc w:val="both"/>
      </w:pPr>
      <w:r>
        <w:rPr>
          <w:rFonts w:ascii="Times New Roman" w:cs="Times New Roman" w:eastAsia="Times New Roman" w:hAnsi="Times New Roman"/>
          <w:sz w:val="24"/>
          <w:szCs w:val="24"/>
        </w:rPr>
        <w:t xml:space="preserve">Academic and professional communities represent a further opportunity. Organizations such as the Partnership on AI, the Alan Turing Institute, and the AI Now Institute publish research, case studies, and policy briefs that can inform responsible AI practice. Professional societies in medicine—including the American Medical Association and the Royal College of Physicians—have issued guidance on clinical AI that can help development teams align with the expectations of the clinical community.</w:t>
      </w:r>
    </w:p>
    <w:p>
      <w:pPr>
        <w:spacing w:after="160" w:line="360"/>
        <w:ind w:firstLine="720"/>
        <w:jc w:val="both"/>
      </w:pPr>
      <w:r>
        <w:rPr>
          <w:rFonts w:ascii="Times New Roman" w:cs="Times New Roman" w:eastAsia="Times New Roman" w:hAnsi="Times New Roman"/>
          <w:sz w:val="24"/>
          <w:szCs w:val="24"/>
        </w:rPr>
        <w:t xml:space="preserve">Regulatory pathways, while potentially challenging, also create opportunities. The FDA's Digital Health Center of Excellence and its Predetermined Change Control Plan framework for AI-based medical devices provide a mechanism for developers to work proactively with regulators to establish acceptable validation methods and post-market surveillance requirements (U.S. Food and Drug Administration, 2021). Engaging regulators early—rather than treating regulatory compliance as a final hurdle—can reduce uncertainty and build organizational competence.</w:t>
      </w:r>
    </w:p>
    <w:p>
      <w:pPr>
        <w:pStyle w:val="Heading1"/>
        <w:spacing w:after="160" w:before="480"/>
        <w:jc w:val="left"/>
      </w:pPr>
      <w:r>
        <w:rPr>
          <w:rFonts w:ascii="Times New Roman" w:cs="Times New Roman" w:eastAsia="Times New Roman" w:hAnsi="Times New Roman"/>
          <w:b/>
          <w:bCs/>
          <w:color w:val="000000"/>
          <w:sz w:val="28"/>
          <w:szCs w:val="28"/>
        </w:rPr>
        <w:t xml:space="preserve">Conclusion</w:t>
      </w:r>
    </w:p>
    <w:p>
      <w:pPr>
        <w:spacing w:after="160" w:line="360"/>
        <w:ind w:firstLine="720"/>
        <w:jc w:val="both"/>
      </w:pPr>
      <w:r>
        <w:rPr>
          <w:rFonts w:ascii="Times New Roman" w:cs="Times New Roman" w:eastAsia="Times New Roman" w:hAnsi="Times New Roman"/>
          <w:sz w:val="24"/>
          <w:szCs w:val="24"/>
        </w:rPr>
        <w:t xml:space="preserve">This paper has demonstrated that responsible AI is not a post-development checklist but a discipline that must be woven into every stage of the model development life cycle. Through the lens of a hypothetical AI-powered healthcare diagnostic triage system, MedTriage-AI, the paper has shown how five core principles—fairness and non-discrimination, transparency and explainability, privacy and data security, accountability, and human oversight—can be operationalized from problem scoping through ongoing monitoring.</w:t>
      </w:r>
    </w:p>
    <w:p>
      <w:pPr>
        <w:spacing w:after="160" w:line="360"/>
        <w:ind w:firstLine="720"/>
        <w:jc w:val="both"/>
      </w:pPr>
      <w:r>
        <w:rPr>
          <w:rFonts w:ascii="Times New Roman" w:cs="Times New Roman" w:eastAsia="Times New Roman" w:hAnsi="Times New Roman"/>
          <w:sz w:val="24"/>
          <w:szCs w:val="24"/>
        </w:rPr>
        <w:t xml:space="preserve">The challenges are real and substantial. Tensions among competing fairness definitions, the accuracy-explainability tradeoff, data quality limitations, organizational inertia, and regulatory complexity all create friction for teams seeking to build AI responsibly. Yet the opportunities are equally significant. A growing ecosystem of open-source tools, governance frameworks, regulatory guidance, and professional communities provides practitioners with more resources than ever before to rise to these challenges.</w:t>
      </w:r>
    </w:p>
    <w:p>
      <w:pPr>
        <w:spacing w:after="160" w:line="360"/>
        <w:ind w:firstLine="720"/>
        <w:jc w:val="both"/>
      </w:pPr>
      <w:r>
        <w:rPr>
          <w:rFonts w:ascii="Times New Roman" w:cs="Times New Roman" w:eastAsia="Times New Roman" w:hAnsi="Times New Roman"/>
          <w:sz w:val="24"/>
          <w:szCs w:val="24"/>
        </w:rPr>
        <w:t xml:space="preserve">The stakes in healthcare are especially high. An AI triage system that is biased, opaque, or inadequately supervised can cause direct harm to vulnerable patients. But a system built responsibly—one that is fair, explainable, privacy-preserving, accountable, and subject to meaningful human oversight—has the potential to meaningfully improve care equity and efficiency in one of the most consequential settings in human life. The work of building such systems demands both technical rigor and ethical seriousness. The responsible AI frameworks and tools reviewed in this paper provide a foundation; the commitment to use them must come from the humans who design, deploy, and maintain these systems. Responsible AI is ultimately not a property of algorithms but of the organizations and communities that build and govern them.</w:t>
      </w:r>
    </w:p>
    <w:p>
      <w:pPr>
        <w:spacing w:after="0"/>
      </w:pPr>
      <w:r>
        <w:br/>
      </w:r>
    </w:p>
    <w:p>
      <w:pPr>
        <w:spacing w:after="320" w:line="360"/>
        <w:jc w:val="center"/>
      </w:pPr>
      <w:r>
        <w:rPr>
          <w:rFonts w:ascii="Times New Roman" w:cs="Times New Roman" w:eastAsia="Times New Roman" w:hAnsi="Times New Roman"/>
          <w:b/>
          <w:bCs/>
          <w:sz w:val="24"/>
          <w:szCs w:val="24"/>
        </w:rPr>
        <w:t xml:space="preserve">References</w:t>
      </w:r>
    </w:p>
    <w:p>
      <w:pPr>
        <w:spacing w:after="160" w:line="360"/>
        <w:ind w:left="720" w:hanging="720"/>
        <w:jc w:val="both"/>
      </w:pPr>
      <w:r>
        <w:rPr>
          <w:rFonts w:ascii="Times New Roman" w:cs="Times New Roman" w:eastAsia="Times New Roman" w:hAnsi="Times New Roman"/>
          <w:sz w:val="24"/>
          <w:szCs w:val="24"/>
        </w:rPr>
        <w:t xml:space="preserve">Barocas, S., Hardt, M., &amp; Narayanan, A. (2023). Fairness and machine learning: Limitations and opportunities. MIT Press.</w:t>
      </w:r>
    </w:p>
    <w:p>
      <w:pPr>
        <w:spacing w:after="160" w:line="360"/>
        <w:ind w:left="720" w:hanging="720"/>
        <w:jc w:val="both"/>
      </w:pPr>
      <w:r>
        <w:rPr>
          <w:rFonts w:ascii="Times New Roman" w:cs="Times New Roman" w:eastAsia="Times New Roman" w:hAnsi="Times New Roman"/>
          <w:sz w:val="24"/>
          <w:szCs w:val="24"/>
        </w:rPr>
        <w:t xml:space="preserve">Bellamy, R. K. E., Dey, K., Hind, M., Hoffman, S. C., Houde, S., Kannan, K., Lohia, P., Martino, J., Mehta, S., Mojsilović, A., Nagar, S., Ramamurthy, K. N., Richards, J., Saha, D., Sattigeri, P., Singh, M., Varshney, K. R., &amp; Zhang, Y. (2019). AI Fairness 360: An extensible toolkit for detecting and mitigating algorithmic bias. IBM Journal of Research and Development, 63(4/5), 4:1–4:15. https://doi.org/10.1147/JRD.2019.2942287</w:t>
      </w:r>
    </w:p>
    <w:p>
      <w:pPr>
        <w:spacing w:after="160" w:line="360"/>
        <w:ind w:left="720" w:hanging="720"/>
        <w:jc w:val="both"/>
      </w:pPr>
      <w:r>
        <w:rPr>
          <w:rFonts w:ascii="Times New Roman" w:cs="Times New Roman" w:eastAsia="Times New Roman" w:hAnsi="Times New Roman"/>
          <w:sz w:val="24"/>
          <w:szCs w:val="24"/>
        </w:rPr>
        <w:t xml:space="preserve">Doshi-Velez, F., Kortz, M., Budish, R., Bavitz, C., Gershman, S., O'Brien, D., Scott, K., Shieber, S., Sidman, J., Vries, A., &amp; Wood, A. (2017). Accountability of AI under the law: The role of explanation. Berkman Klein Center for Internet &amp; Society Working Paper. https://doi.org/10.2139/ssrn.3064761</w:t>
      </w:r>
    </w:p>
    <w:p>
      <w:pPr>
        <w:spacing w:after="160" w:line="360"/>
        <w:ind w:left="720" w:hanging="720"/>
        <w:jc w:val="both"/>
      </w:pPr>
      <w:r>
        <w:rPr>
          <w:rFonts w:ascii="Times New Roman" w:cs="Times New Roman" w:eastAsia="Times New Roman" w:hAnsi="Times New Roman"/>
          <w:sz w:val="24"/>
          <w:szCs w:val="24"/>
        </w:rPr>
        <w:t xml:space="preserve">European Parliament. (2024). Regulation (EU) 2024/1689 of the European Parliament and of the Council of 13 June 2024 laying down harmonised rules on artificial intelligence (Artificial Intelligence Act). Official Journal of the European Union.</w:t>
      </w:r>
    </w:p>
    <w:p>
      <w:pPr>
        <w:spacing w:after="160" w:line="360"/>
        <w:ind w:left="720" w:hanging="720"/>
        <w:jc w:val="both"/>
      </w:pPr>
      <w:r>
        <w:rPr>
          <w:rFonts w:ascii="Times New Roman" w:cs="Times New Roman" w:eastAsia="Times New Roman" w:hAnsi="Times New Roman"/>
          <w:sz w:val="24"/>
          <w:szCs w:val="24"/>
        </w:rPr>
        <w:t xml:space="preserve">Floridi, L., Cowls, J., Beltrametti, M., Chatila, R., Chazerand, P., Dignum, V., Luetge, C., Madelin, R., Pagallo, U., Rossi, F., Schafer, B., Valcke, P., &amp; Vayena, E. (2019). An ethical framework for a good AI society: Opportunities, risks, principles, and recommendations. Minds and Machines, 29(4), 689–707. https://doi.org/10.1007/s11023-019-09504-8</w:t>
      </w:r>
    </w:p>
    <w:p>
      <w:pPr>
        <w:spacing w:after="160" w:line="360"/>
        <w:ind w:left="720" w:hanging="720"/>
        <w:jc w:val="both"/>
      </w:pPr>
      <w:r>
        <w:rPr>
          <w:rFonts w:ascii="Times New Roman" w:cs="Times New Roman" w:eastAsia="Times New Roman" w:hAnsi="Times New Roman"/>
          <w:sz w:val="24"/>
          <w:szCs w:val="24"/>
        </w:rPr>
        <w:t xml:space="preserve">Géron, A. (2022). Hands-on machine learning with Scikit-Learn, Keras, and TensorFlow (3rd ed.). O'Reilly Media.</w:t>
      </w:r>
    </w:p>
    <w:p>
      <w:pPr>
        <w:spacing w:after="160" w:line="360"/>
        <w:ind w:left="720" w:hanging="720"/>
        <w:jc w:val="both"/>
      </w:pPr>
      <w:r>
        <w:rPr>
          <w:rFonts w:ascii="Times New Roman" w:cs="Times New Roman" w:eastAsia="Times New Roman" w:hAnsi="Times New Roman"/>
          <w:sz w:val="24"/>
          <w:szCs w:val="24"/>
        </w:rPr>
        <w:t xml:space="preserve">Goddard, K., Roudsari, A., &amp; Wyatt, J. C. (2012). Automation bias: A systematic review of frequency, effect mediators, and mitigators. Journal of the American Medical Informatics Association, 19(1), 121–127. https://doi.org/10.1136/amiajnl-2011-000089</w:t>
      </w:r>
    </w:p>
    <w:p>
      <w:pPr>
        <w:spacing w:after="160" w:line="360"/>
        <w:ind w:left="720" w:hanging="720"/>
        <w:jc w:val="both"/>
      </w:pPr>
      <w:r>
        <w:rPr>
          <w:rFonts w:ascii="Times New Roman" w:cs="Times New Roman" w:eastAsia="Times New Roman" w:hAnsi="Times New Roman"/>
          <w:sz w:val="24"/>
          <w:szCs w:val="24"/>
        </w:rPr>
        <w:t xml:space="preserve">Lundberg, S. M., &amp; Lee, S. I. (2017). A unified approach to interpreting model predictions. Advances in Neural Information Processing Systems, 30, 4765–4774.</w:t>
      </w:r>
    </w:p>
    <w:p>
      <w:pPr>
        <w:spacing w:after="160" w:line="360"/>
        <w:ind w:left="720" w:hanging="720"/>
        <w:jc w:val="both"/>
      </w:pPr>
      <w:r>
        <w:rPr>
          <w:rFonts w:ascii="Times New Roman" w:cs="Times New Roman" w:eastAsia="Times New Roman" w:hAnsi="Times New Roman"/>
          <w:sz w:val="24"/>
          <w:szCs w:val="24"/>
        </w:rPr>
        <w:t xml:space="preserve">Mitchell, M., Wu, S., Zaldivar, A., Barnes, P., Vasserman, L., Hutchinson, B., Spitzer, E., Raji, I. D., &amp; Gebru, T. (2019). Model cards for model reporting. Proceedings of the Conference on Fairness, Accountability, and Transparency, 220–229. https://doi.org/10.1145/3287560.3287596</w:t>
      </w:r>
    </w:p>
    <w:p>
      <w:pPr>
        <w:spacing w:after="160" w:line="360"/>
        <w:ind w:left="720" w:hanging="720"/>
        <w:jc w:val="both"/>
      </w:pPr>
      <w:r>
        <w:rPr>
          <w:rFonts w:ascii="Times New Roman" w:cs="Times New Roman" w:eastAsia="Times New Roman" w:hAnsi="Times New Roman"/>
          <w:sz w:val="24"/>
          <w:szCs w:val="24"/>
        </w:rPr>
        <w:t xml:space="preserve">Mittelstadt, B. D., Allo, P., Taddeo, M., Wachter, S., &amp; Floridi, L. (2016). The ethics of algorithms: Mapping the debate. Big Data &amp; Society, 3(2), 1–21. https://doi.org/10.1177/2053951716679679</w:t>
      </w:r>
    </w:p>
    <w:p>
      <w:pPr>
        <w:spacing w:after="160" w:line="360"/>
        <w:ind w:left="720" w:hanging="720"/>
        <w:jc w:val="both"/>
      </w:pPr>
      <w:r>
        <w:rPr>
          <w:rFonts w:ascii="Times New Roman" w:cs="Times New Roman" w:eastAsia="Times New Roman" w:hAnsi="Times New Roman"/>
          <w:sz w:val="24"/>
          <w:szCs w:val="24"/>
        </w:rPr>
        <w:t xml:space="preserve">National Institute of Standards and Technology. (2023). AI risk management framework (AI RMF 1.0) (NIST AI 100-1). U.S. Department of Commerce. https://doi.org/10.6028/NIST.AI.100-1</w:t>
      </w:r>
    </w:p>
    <w:p>
      <w:pPr>
        <w:spacing w:after="160" w:line="360"/>
        <w:ind w:left="720" w:hanging="720"/>
        <w:jc w:val="both"/>
      </w:pPr>
      <w:r>
        <w:rPr>
          <w:rFonts w:ascii="Times New Roman" w:cs="Times New Roman" w:eastAsia="Times New Roman" w:hAnsi="Times New Roman"/>
          <w:sz w:val="24"/>
          <w:szCs w:val="24"/>
        </w:rPr>
        <w:t xml:space="preserve">Obermeyer, Z., Powers, B., Vogeli, C., &amp; Mullainathan, S. (2019). Dissecting racial bias in an algorithm used to manage the health of populations. Science, 366(6464), 447–453. https://doi.org/10.1126/science.aax2342</w:t>
      </w:r>
    </w:p>
    <w:p>
      <w:pPr>
        <w:spacing w:after="160" w:line="360"/>
        <w:ind w:left="720" w:hanging="720"/>
        <w:jc w:val="both"/>
      </w:pPr>
      <w:r>
        <w:rPr>
          <w:rFonts w:ascii="Times New Roman" w:cs="Times New Roman" w:eastAsia="Times New Roman" w:hAnsi="Times New Roman"/>
          <w:sz w:val="24"/>
          <w:szCs w:val="24"/>
        </w:rPr>
        <w:t xml:space="preserve">Rieke, N., Hancox, J., Li, W., Milletarì, F., Roth, H. R., Albarqouni, S., Bakas, S., Galtier, M. N., Landman, B. A., Maier-Hein, K., Ourselin, S., Sheller, M., Summers, R. M., Trask, A., Xu, D., Baust, M., &amp; Cardoso, M. J. (2020). The future of digital health with federated learning. NPJ Digital Medicine, 3, Article 119. https://doi.org/10.1038/s41746-020-00323-1</w:t>
      </w:r>
    </w:p>
    <w:p>
      <w:pPr>
        <w:spacing w:after="160" w:line="360"/>
        <w:ind w:left="720" w:hanging="720"/>
        <w:jc w:val="both"/>
      </w:pPr>
      <w:r>
        <w:rPr>
          <w:rFonts w:ascii="Times New Roman" w:cs="Times New Roman" w:eastAsia="Times New Roman" w:hAnsi="Times New Roman"/>
          <w:sz w:val="24"/>
          <w:szCs w:val="24"/>
        </w:rPr>
        <w:t xml:space="preserve">Rudin, C. (2019). Stop explaining black box machine learning models for high stakes decisions and use interpretable models instead. Nature Machine Intelligence, 1(5), 206–215. https://doi.org/10.1038/s42256-019-0048-x</w:t>
      </w:r>
    </w:p>
    <w:p>
      <w:pPr>
        <w:spacing w:after="160" w:line="360"/>
        <w:ind w:left="720" w:hanging="720"/>
        <w:jc w:val="both"/>
      </w:pPr>
      <w:r>
        <w:rPr>
          <w:rFonts w:ascii="Times New Roman" w:cs="Times New Roman" w:eastAsia="Times New Roman" w:hAnsi="Times New Roman"/>
          <w:sz w:val="24"/>
          <w:szCs w:val="24"/>
        </w:rPr>
        <w:t xml:space="preserve">Topol, E. J. (2019). High-performance medicine: The convergence of human and artificial intelligence. Nature Medicine, 25(1), 44–56. https://doi.org/10.1038/s41591-018-0300-7</w:t>
      </w:r>
    </w:p>
    <w:p>
      <w:pPr>
        <w:spacing w:after="160" w:line="360"/>
        <w:ind w:left="720" w:hanging="720"/>
        <w:jc w:val="both"/>
      </w:pPr>
      <w:r>
        <w:rPr>
          <w:rFonts w:ascii="Times New Roman" w:cs="Times New Roman" w:eastAsia="Times New Roman" w:hAnsi="Times New Roman"/>
          <w:sz w:val="24"/>
          <w:szCs w:val="24"/>
        </w:rPr>
        <w:t xml:space="preserve">U.S. Food and Drug Administration. (2021). Artificial intelligence/machine learning (AI/ML)-based software as a medical device (SaMD) action plan. U.S. Department of Health and Human Services.</w:t>
      </w:r>
    </w:p>
    <w:p>
      <w:pPr>
        <w:spacing w:after="160" w:line="360"/>
        <w:ind w:left="720" w:hanging="720"/>
        <w:jc w:val="both"/>
      </w:pPr>
      <w:r>
        <w:rPr>
          <w:rFonts w:ascii="Times New Roman" w:cs="Times New Roman" w:eastAsia="Times New Roman" w:hAnsi="Times New Roman"/>
          <w:sz w:val="24"/>
          <w:szCs w:val="24"/>
        </w:rPr>
        <w:t xml:space="preserve">Vayena, E., Blasimme, A., &amp; Cohen, I. G. (2018). Machine learning in medicine: Addressing ethical challenges. PLOS Medicine, 15(11), Article e1002689. https://doi.org/10.1371/journal.pmed.1002689</w:t>
      </w:r>
    </w:p>
    <w:p>
      <w:pPr>
        <w:spacing w:after="160" w:line="360"/>
        <w:ind w:left="720" w:hanging="720"/>
        <w:jc w:val="both"/>
      </w:pPr>
      <w:r>
        <w:rPr>
          <w:rFonts w:ascii="Times New Roman" w:cs="Times New Roman" w:eastAsia="Times New Roman" w:hAnsi="Times New Roman"/>
          <w:sz w:val="24"/>
          <w:szCs w:val="24"/>
        </w:rPr>
        <w:t xml:space="preserve">World Health Organization. (2021). Ethics and governance of artificial intelligence for health: WHO guidance. World Health 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Times New Roman" w:cs="Times New Roman" w:eastAsia="Times New Roman" w:hAnsi="Times New Roman"/>
        <w:sz w:val="20"/>
        <w:szCs w:val="20"/>
      </w:rPr>
      <w:t xml:space="preserve">RESPONSIBLE AI AND THE MODEL DEVELOPMENT LIFE CYCLE</w:t>
    </w:r>
    <w:r>
      <w:rPr>
        <w:rFonts w:ascii="Times New Roman" w:cs="Times New Roman" w:eastAsia="Times New Roman" w:hAnsi="Times New Roman"/>
        <w:sz w:val="20"/>
        <w:szCs w:val="20"/>
      </w:rPr>
      <w:ta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2026-06-05T17:18:42.942Z</dcterms:created>
  <dcterms:modified xsi:type="dcterms:W3CDTF">2026-06-05T17:18:42.942Z</dcterms:modified>
</cp:coreProperties>
</file>

<file path=docProps/custom.xml><?xml version="1.0" encoding="utf-8"?>
<Properties xmlns="http://schemas.openxmlformats.org/officeDocument/2006/custom-properties" xmlns:vt="http://schemas.openxmlformats.org/officeDocument/2006/docPropsVTypes"/>
</file>