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区域国别学相关思考</w:t>
      </w:r>
    </w:p>
    <w:p>
      <w:r>
        <w:t>逐页演讲稿｜配套 14 页 PPT</w:t>
      </w:r>
    </w:p>
    <w:p>
      <w:r>
        <w:t>建议总时长：14分40秒。逐页时间包含换页与短暂停顿；参考语速约每分钟230–260字。第14页参考文献不逐条朗读。实际时长请以彩排为准。</w:t>
      </w:r>
    </w:p>
    <w:p>
      <w:pPr>
        <w:pStyle w:val="Heading1"/>
      </w:pPr>
      <w:r>
        <w:t>第01页｜区域国别学相关思考</w:t>
      </w:r>
    </w:p>
    <w:p>
      <w:r>
        <w:t>00:00–00:40（40秒）</w:t>
      </w:r>
    </w:p>
    <w:p>
      <w:r>
        <w:t>各位老师、同学，大家好。今天汇报的题目是“区域国别学相关思考”。我主要依据知识库中的五本著作，讨论一个问题：当区域国别学已经获得学科建制，我们怎样判断它是否真正形成了有解释力的知识？我的基本立场是，了解一个国家只是起点，更关键的是提出好问题、组织可靠证据，并让结论接受检验。下面从学科定位、研究方法和知识责任三个方面展开。</w:t>
      </w:r>
    </w:p>
    <w:p>
      <w:pPr>
        <w:pStyle w:val="Heading1"/>
      </w:pPr>
      <w:r>
        <w:t>第02页｜知道得更多，为什么仍可能理解得更少？</w:t>
      </w:r>
    </w:p>
    <w:p>
      <w:r>
        <w:t>00:40–01:45（65秒）</w:t>
      </w:r>
    </w:p>
    <w:p>
      <w:r>
        <w:t>我们很容易把区域国别研究理解为资料越多越好：收集人口、经济、宗教、语言和外交信息，再写成一本国情手册。这当然有价值，但信息完整并不等于解释成立。例如，知道某国青年失业率上升，并不能直接解释某种政治动员为何出现。我们还需要识别制度、历史、社会网络与行动者理解之间的联系。因此，我提出三个检验：研究有没有明确的问题？证据能否支撑所说的机制？结论在什么条件下可能失效？这三个问题构成今天汇报的主线。</w:t>
      </w:r>
    </w:p>
    <w:p>
      <w:pPr>
        <w:pStyle w:val="Heading1"/>
      </w:pPr>
      <w:r>
        <w:t>第03页｜制度成立之后，知识如何成立？</w:t>
      </w:r>
    </w:p>
    <w:p>
      <w:r>
        <w:t>01:45–02:45（60秒）</w:t>
      </w:r>
    </w:p>
    <w:p>
      <w:r>
        <w:t>首先需要把三个层面分开。制度层面，2022年的学科目录已经把区域国别学列为交叉学科门类下的一级学科，代码是1407，这是明确的制度事实。组织层面，它把语言、历史、政治、经济等研究力量连接起来。知识层面，它仍然需要回答自己增加了怎样的解释。设立学位点可以改善人才培养条件，但不能自动证明跨学科整合已经成功。因此，我不把“它是不是一门学科”当作简单的是非题，而是追问：制度提供的平台，是否生产出了单一学科难以获得的新认识？</w:t>
      </w:r>
    </w:p>
    <w:p>
      <w:pPr>
        <w:pStyle w:val="Heading1"/>
      </w:pPr>
      <w:r>
        <w:t>第04页｜五本著作，五种进入问题的路径</w:t>
      </w:r>
    </w:p>
    <w:p>
      <w:r>
        <w:t>02:45–03:50（65秒）</w:t>
      </w:r>
    </w:p>
    <w:p>
      <w:r>
        <w:t>五本著作给我们不同的入口。钱乘旦强调通才加专才，以及语言、历史和实地经历。刘鸿武把行走、跨文化体验和历史眼光结合起来。赵可金讨论域外知识体系和不同研究范式。罗林主编的文集保留了学科建制、方法与理论创新的争论。张蔚磊主编的教材则提供跨学科方法与案例。它们共同重视对象、经验和跨学科，但并没有形成完全一致的知识目标。尤其是地方性知识是否必须走向一般化解释，各家取向不同。我的做法是把差异当作研究资源，而不是压缩成一个看似统一的定义。</w:t>
      </w:r>
    </w:p>
    <w:p>
      <w:r>
        <w:br w:type="page"/>
      </w:r>
    </w:p>
    <w:p>
      <w:pPr>
        <w:pStyle w:val="Heading1"/>
      </w:pPr>
      <w:r>
        <w:t>第05页｜研究单位，不必等于行政边界</w:t>
      </w:r>
    </w:p>
    <w:p>
      <w:r>
        <w:t>03:50–04:55（65秒）</w:t>
      </w:r>
    </w:p>
    <w:p>
      <w:r>
        <w:t>区域国别学有一个容易被忽略的问题：研究对象究竟在哪里？国家边界便于统计与制度比较，但语言、宗教、迁移和产业链往往跨越国界。以劳动力流动为例，只在一个国家内观察，可能看不到招聘机构、企业需求和跨境合同之间的联系。因此，研究单位应该服从问题。研究税收制度时，国家可能是合适单位；研究语言传播时，文化区域更有用；研究跨境就业时，就要跟随网络。这里的地图只表达空间关联，不标国界。我的判断是，区域知识的价值，恰恰在于发现国家边界无法完整容纳的机制。</w:t>
      </w:r>
    </w:p>
    <w:p>
      <w:pPr>
        <w:pStyle w:val="Heading1"/>
      </w:pPr>
      <w:r>
        <w:t>第06页｜跨学科的价值，发生在证据相遇之处</w:t>
      </w:r>
    </w:p>
    <w:p>
      <w:r>
        <w:t>04:55–06:05（70秒）</w:t>
      </w:r>
    </w:p>
    <w:p>
      <w:r>
        <w:t>跨学科不能只表现为章节安排：第一章历史、第二章政治、第三章经济，最后加一个结论。真正的整合需要共同的问题，以及证据之间可解释的关系。例如研究移民的就业选择，历史研究帮助说明迁移通道的形成，制度分析解释签证与劳动规则，民族志揭示家庭义务和风险感受，网络分析显示中介关系。它们不是四种独立答案，而是同一个机制的不同环节。整合的检验也很具体：拿掉某一类证据，原来的解释是否会改变？如果完全不会，那么所谓跨学科可能只是装饰性拼接。</w:t>
      </w:r>
    </w:p>
    <w:p>
      <w:pPr>
        <w:pStyle w:val="Heading1"/>
      </w:pPr>
      <w:r>
        <w:t>第07页｜语言与田野是入口，证据互校才形成解释</w:t>
      </w:r>
    </w:p>
    <w:p>
      <w:r>
        <w:t>06:05–07:15（70秒）</w:t>
      </w:r>
    </w:p>
    <w:p>
      <w:r>
        <w:t>钱乘旦和刘鸿武都强调实地研究，张蔚磊的教材也提供民族志、文本和网络等方法。不过，去过当地不等于理解当地，掌握语言也不等于自动获得客观事实。受访者可能有所保留，研究者可能只接触到城市精英，翻译也可能改变概念。因此，我建议建立三角互校：用当地语言理解行动者自己的解释，用历史和制度材料检验叙述的背景，再用可比较资料考察现象的范围。遇到不同证据相互冲突时，不要急于消除差异，而应追问样本、时点和位置为什么不同。矛盾本身可能就是研究线索。</w:t>
      </w:r>
    </w:p>
    <w:p>
      <w:r>
        <w:br w:type="page"/>
      </w:r>
    </w:p>
    <w:p>
      <w:pPr>
        <w:pStyle w:val="Heading1"/>
      </w:pPr>
      <w:r>
        <w:t>第08页｜从地方性出发，怎样走向有边界的解释？</w:t>
      </w:r>
    </w:p>
    <w:p>
      <w:r>
        <w:t>07:15–08:30（75秒）</w:t>
      </w:r>
    </w:p>
    <w:p>
      <w:r>
        <w:t>这里存在一个真实张力：我们既不希望拿普遍模型硬套每一个国家，也不希望把每个案例都描述成不可比较的独特世界。可以采用一条中间路径：先在案例中识别机制，再选择有意义的对照，最后说明适用边界。例如，研究同一种政策为什么在不同地方产生不同结果，我们应先确定比较的是相同政策还是相似名称，再排查执行机构、资源和社会网络的差异。如果遇到机制预测不成立的反例，就要修正解释。这不是追求放之四海而皆准的定律，而是提出条件明确、能够被反驳的判断。</w:t>
      </w:r>
    </w:p>
    <w:p>
      <w:pPr>
        <w:pStyle w:val="Heading1"/>
      </w:pPr>
      <w:r>
        <w:t>第09页｜一个案例：跟随印度 IT 劳动力的跨境流动</w:t>
      </w:r>
    </w:p>
    <w:p>
      <w:r>
        <w:t>08:30–09:55（85秒）</w:t>
      </w:r>
    </w:p>
    <w:p>
      <w:r>
        <w:t>张蔚磊教材介绍项飚的“全球猎身”，作为多点民族志的方法案例。这里不复述整本著作的经验结论，而借这个案例演示研究设计。我们的示范问题是：跨境就业机会如何被组织，相关风险又由谁承担？研究视线沿着劳动者、招聘与培训中介、雇主三个节点移动。访谈理解个人决策，合同与制度文件说明责任分配，网络材料揭示关系结构。关键是不能预先认定某一方承担全部风险，而应让证据回答。还要寻找直接招聘、不同合同和不同群体的对照。这样，一个看似关于印度的问题，就成为兼具地方背景与跨境机制的研究。</w:t>
      </w:r>
    </w:p>
    <w:p>
      <w:pPr>
        <w:pStyle w:val="Heading1"/>
      </w:pPr>
      <w:r>
        <w:t>第10页｜服务现实，需要保留说出“不利事实”的能力</w:t>
      </w:r>
    </w:p>
    <w:p>
      <w:r>
        <w:t>09:55–11:05（70秒）</w:t>
      </w:r>
    </w:p>
    <w:p>
      <w:r>
        <w:t>区域国别学与现实需求联系紧密，这是资源来源，也是责任来源。但如果研究只寻找支持预设政策的证据，现实服务反而会失去价值。政策建议可以有明确目标，事实判断必须允许得出不方便的结论。图中的两个轴，是本次汇报提出的分析框架：一条衡量公共问题关联度，一条衡量证据能否独立核验。理想位置是既回应重要问题，也坚持证据约束。这里的自主不是脱离社会，而是保留识别风险、修正预期和公开不确定性的能力。能帮助决策者发现错误的研究，往往比只证明其正确的研究更有用。</w:t>
      </w:r>
    </w:p>
    <w:p>
      <w:r>
        <w:br w:type="page"/>
      </w:r>
    </w:p>
    <w:p>
      <w:pPr>
        <w:pStyle w:val="Heading1"/>
      </w:pPr>
      <w:r>
        <w:t>第11页｜自主知识体系，如何避免新的中心主义？</w:t>
      </w:r>
    </w:p>
    <w:p>
      <w:r>
        <w:t>11:05–12:15（70秒）</w:t>
      </w:r>
    </w:p>
    <w:p>
      <w:r>
        <w:t>自主知识体系不能仅靠更换话语中心来完成。我们批评外部研究把他者当作材料，也应该反思自己的研究有没有重复这一结构。我的建议是，把自主落实为四个可以讨论的问题：谁提出问题，谁拥有资料，谁参与解释，谁从成果中受益？在跨国合作中，当地学者可以共同设计问题、核对概念和参与署名；受访者的信息安全与知情同意也应进入研究流程。这样，中国视角与当地经验不必互相排斥。我们提出有辨识度的问题，同时接受他者修正，才能让自主知识成为可对话、可使用的知识。</w:t>
      </w:r>
    </w:p>
    <w:p>
      <w:pPr>
        <w:pStyle w:val="Heading1"/>
      </w:pPr>
      <w:r>
        <w:t>第12页｜“通才＋专才”，应当培养什么可验证的能力？</w:t>
      </w:r>
    </w:p>
    <w:p>
      <w:r>
        <w:t>12:15–13:20（65秒）</w:t>
      </w:r>
    </w:p>
    <w:p>
      <w:r>
        <w:t>人才培养上，“通才加专才”是重要目标，但不能把通才理解成掌握某国一切知识。更可行的是T形能力：横向具备语言、历史、制度和社会背景，纵向能够深入一个专题，并熟练使用相应方法。评价也要跟着改变。除了论文篇数和报告数量，还应检查原始材料是否可追溯、跨学科方法是否真正协作、反例是否被认真处理、成果能否被学术或实践共同体使用。这些是本次汇报的建议指标，不是现行制度规定。它们的意义，是让人才培养从“修了什么课”走向“能够独立完成怎样的研究”。</w:t>
      </w:r>
    </w:p>
    <w:p>
      <w:pPr>
        <w:pStyle w:val="Heading1"/>
      </w:pPr>
      <w:r>
        <w:t>第13页｜让区域知识变得可解释、可检验、可对话</w:t>
      </w:r>
    </w:p>
    <w:p>
      <w:r>
        <w:t>13:20–14:20（60秒）</w:t>
      </w:r>
    </w:p>
    <w:p>
      <w:r>
        <w:t>最后，我把思考收束为三个可以开始的行动。第一，缩小问题：不要一开始就写一个国家的全貌，而是选择一个对象清楚、机制明确的问题。第二，做实证据：建立当地语言材料、田野记录与制度资料之间的互校链条，同时记录反例。第三，开放解释：让不同学科和当地研究者参与检验，并明确结论的适用范围。区域国别学真正的潜力，不只是让我们知道更多外国信息，而是改变我们认识世界的方法。它既帮助我们理解他者，也提醒我们重新审视自身使用的概念。我的汇报到这里，谢谢大家。</w:t>
      </w:r>
    </w:p>
    <w:p>
      <w:r>
        <w:br w:type="page"/>
      </w:r>
    </w:p>
    <w:p>
      <w:pPr>
        <w:pStyle w:val="Heading1"/>
      </w:pPr>
      <w:r>
        <w:t>第14页｜阅读依据与来源说明</w:t>
      </w:r>
    </w:p>
    <w:p>
      <w:r>
        <w:t>14:20–14:40（20秒）</w:t>
      </w:r>
    </w:p>
    <w:p>
      <w:r>
        <w:t>最后一页列出主要阅读依据。正文中的观点概括与本次判断已作区分；案例页是方法演示，不是新增的田野发现。页标对应知识库提取文本或注明的印刷页，可用于回查。感谢各位聆听，欢迎批评指正。</w:t>
      </w:r>
    </w:p>
    <w:p>
      <w:pPr>
        <w:pStyle w:val="Heading1"/>
      </w:pPr>
      <w:r>
        <w:t>使用与来源说明</w:t>
      </w:r>
    </w:p>
    <w:p>
      <w:r>
        <w:t>演讲稿与PPT逐页对应；完整讲稿同时写入PPT备注。观点转述与本次汇报判断分开。印度IT案例为基于底本的研究设计演示，不构成新增经验结论。原始扫描页图未包含在本次压缩包中，因此涉及OCR的内容以转述呈现，不作为逐字引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