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Ibid. — back-reference test document</w:t>
      </w:r>
    </w:p>
    <w:p>
      <w:r>
        <w:t xml:space="preserve">Each sentence below carries one footnote. The footnotes are the test; the sentences exist only to hang them on. Expected results per footnote are in README.md beside this file.</w:t>
      </w:r>
    </w:p>
    <w:p>
      <w:r>
        <w:t xml:space="preserve">The right to erasure is established by the General Data Protection Regulation.</w:t>
      </w:r>
      <w:r>
        <w:rPr>
          <w:rStyle w:val="FootnoteReference"/>
          <w:vertAlign w:val="superscript"/>
        </w:rPr>
        <w:footnoteReference w:id="1"/>
      </w:r>
    </w:p>
    <w:p>
      <w:r>
        <w:t xml:space="preserve">Its first paragraph sets out the grounds on which erasure may be sought.</w:t>
      </w:r>
      <w:r>
        <w:rPr>
          <w:rStyle w:val="FootnoteReference"/>
          <w:vertAlign w:val="superscript"/>
        </w:rPr>
        <w:footnoteReference w:id="2"/>
      </w:r>
    </w:p>
    <w:p>
      <w:r>
        <w:t xml:space="preserve">The Court first recognised the right in the search-engine context.</w:t>
      </w:r>
      <w:r>
        <w:rPr>
          <w:rStyle w:val="FootnoteReference"/>
          <w:vertAlign w:val="superscript"/>
        </w:rPr>
        <w:footnoteReference w:id="3"/>
      </w:r>
    </w:p>
    <w:p>
      <w:r>
        <w:t xml:space="preserve">It held that the operator is responsible for the processing it carries out.</w:t>
      </w:r>
      <w:r>
        <w:rPr>
          <w:rStyle w:val="FootnoteReference"/>
          <w:vertAlign w:val="superscript"/>
        </w:rPr>
        <w:footnoteReference w:id="4"/>
      </w:r>
    </w:p>
    <w:p>
      <w:r>
        <w:t xml:space="preserve">That responsibility does not depend on the publisher's own obligations.</w:t>
      </w:r>
      <w:r>
        <w:rPr>
          <w:rStyle w:val="FootnoteReference"/>
          <w:vertAlign w:val="superscript"/>
        </w:rPr>
        <w:footnoteReference w:id="5"/>
      </w:r>
    </w:p>
    <w:p>
      <w:r>
        <w:t xml:space="preserve">The data subject may therefore address the operator directly.</w:t>
      </w:r>
      <w:r>
        <w:rPr>
          <w:rStyle w:val="FootnoteReference"/>
          <w:vertAlign w:val="superscript"/>
        </w:rPr>
        <w:footnoteReference w:id="6"/>
      </w:r>
    </w:p>
    <w:p>
      <w:r>
        <w:t xml:space="preserve">General retention of traffic data was held disproportionate.</w:t>
      </w:r>
      <w:r>
        <w:rPr>
          <w:rStyle w:val="FootnoteReference"/>
          <w:vertAlign w:val="superscript"/>
        </w:rPr>
        <w:footnoteReference w:id="7"/>
      </w:r>
    </w:p>
    <w:p>
      <w:r>
        <w:t xml:space="preserve">The search-engine reasoning is consistent with that approach.</w:t>
      </w:r>
      <w:r>
        <w:rPr>
          <w:rStyle w:val="FootnoteReference"/>
          <w:vertAlign w:val="superscript"/>
        </w:rPr>
        <w:footnoteReference w:id="8"/>
      </w:r>
    </w:p>
    <w:p>
      <w:r>
        <w:t xml:space="preserve">This proposition is uncontroversial.</w:t>
      </w:r>
      <w:r>
        <w:rPr>
          <w:rStyle w:val="FootnoteReference"/>
          <w:vertAlign w:val="superscript"/>
        </w:rPr>
        <w:footnoteReference w:id="9"/>
      </w:r>
    </w:p>
    <w:p>
      <w:r>
        <w:t xml:space="preserve">The retention analysis turned on the absence of any limitation.</w:t>
      </w:r>
      <w:r>
        <w:rPr>
          <w:rStyle w:val="FootnoteReference"/>
          <w:vertAlign w:val="superscript"/>
        </w:rPr>
        <w:footnoteReference w:id="10"/>
      </w:r>
    </w:p>
    <w:p>
      <w:r>
        <w:t xml:space="preserve">No distinction was drawn by reference to the seriousness of the offence.</w:t>
      </w:r>
      <w:r>
        <w:rPr>
          <w:rStyle w:val="FootnoteReference"/>
          <w:vertAlign w:val="superscript"/>
        </w:rPr>
        <w:footnoteReference w:id="11"/>
      </w:r>
    </w:p>
    <w:p>
      <w:r>
        <w:t xml:space="preserve">Transfers to third countries have twice been before the Court.</w:t>
      </w:r>
      <w:r>
        <w:rPr>
          <w:rStyle w:val="FootnoteReference"/>
          <w:vertAlign w:val="superscript"/>
        </w:rPr>
        <w:footnoteReference w:id="12"/>
      </w:r>
    </w:p>
    <w:p>
      <w:r>
        <w:t xml:space="preserve">The essence of the right to private life was the governing consideration.</w:t>
      </w:r>
      <w:r>
        <w:rPr>
          <w:rStyle w:val="FootnoteReference"/>
          <w:vertAlign w:val="superscript"/>
        </w:rPr>
        <w:footnoteReference w:id="13"/>
      </w:r>
    </w:p>
    <w:p>
      <w:r>
        <w:t xml:space="preserve">La Cour a précisé la portée de cette jurisprudence.</w:t>
      </w:r>
      <w:r>
        <w:rPr>
          <w:rStyle w:val="FootnoteReference"/>
          <w:vertAlign w:val="superscript"/>
        </w:rPr>
        <w:footnoteReference w:id="14"/>
      </w:r>
    </w:p>
    <w:p>
      <w:r>
        <w:t xml:space="preserve">L'accès aux données doit être soumis à un contrôle préalable.</w:t>
      </w:r>
      <w:r>
        <w:rPr>
          <w:rStyle w:val="FootnoteReference"/>
          <w:vertAlign w:val="superscript"/>
        </w:rPr>
        <w:footnoteReference w:id="15"/>
      </w:r>
    </w:p>
    <w:p>
      <w:r>
        <w:t xml:space="preserve">The same reasoning applies to the present facts.</w:t>
      </w:r>
      <w:r>
        <w:rPr>
          <w:rStyle w:val="FootnoteReference"/>
          <w:vertAlign w:val="superscript"/>
        </w:rPr>
        <w:footnoteReference w:id="16"/>
      </w:r>
    </w:p>
    <w:p>
      <w:r>
        <w:t xml:space="preserve">In competition law the Court revisited the as-efficient-competitor test.</w:t>
      </w:r>
      <w:r>
        <w:rPr>
          <w:rStyle w:val="FootnoteReference"/>
          <w:vertAlign w:val="superscript"/>
        </w:rPr>
        <w:footnoteReference w:id="17"/>
      </w:r>
    </w:p>
    <w:p>
      <w:r>
        <w:t xml:space="preserve">The Advocate General had proposed a fuller effects analysis.</w:t>
      </w:r>
      <w:r>
        <w:rPr>
          <w:rStyle w:val="FootnoteReference"/>
          <w:vertAlign w:val="superscript"/>
        </w:rPr>
        <w:footnoteReference w:id="18"/>
      </w:r>
    </w:p>
    <w:p>
      <w:r>
        <w:t xml:space="preserve">He treated the loyalty-rebate presumption as rebuttable.</w:t>
      </w:r>
      <w:r>
        <w:rPr>
          <w:rStyle w:val="FootnoteReference"/>
          <w:vertAlign w:val="superscript"/>
        </w:rPr>
        <w:footnoteReference w:id="19"/>
      </w:r>
    </w:p>
    <w:p>
      <w:r>
        <w:t xml:space="preserve">A reference of this kind points nowhere in this document.</w:t>
      </w:r>
      <w:r>
        <w:rPr>
          <w:rStyle w:val="FootnoteReference"/>
          <w:vertAlign w:val="superscript"/>
        </w:rPr>
        <w:footnoteReference w:id="20"/>
      </w:r>
    </w:p>
    <w:p>
      <w:r>
        <w:t xml:space="preserve">A case this memo never cites in full is named here in short form.</w:t>
      </w:r>
      <w:r>
        <w:rPr>
          <w:rStyle w:val="FootnoteReference"/>
          <w:vertAlign w:val="superscript"/>
        </w:rPr>
        <w:footnoteReference w:id="21"/>
      </w:r>
    </w:p>
    <w:p>
      <w:r>
        <w:t xml:space="preserve">And a reference back to it inherits nothing.</w:t>
      </w:r>
      <w:r>
        <w:rPr>
          <w:rStyle w:val="FootnoteReference"/>
          <w:vertAlign w:val="superscript"/>
        </w:rPr>
        <w:footnoteReference w:id="22"/>
      </w:r>
    </w:p>
    <w:sectPr>
      <w:pgSz w:w="11906" w:h="16838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Regulation (EU) 2016/679 of the European Parliament and of the Council of 27 April 2016 (the “GDPR”), Article 17.</w:t>
      </w:r>
    </w:p>
  </w:footnote>
  <w:footnote w:id="2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GDPR, Article 17(1).</w:t>
      </w:r>
    </w:p>
  </w:footnote>
  <w:footnote w:id="3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Judgment of 13 May 2014, Google Spain SL and Google Inc. v AEPD and Costeja González, Case C-131/12, ECLI:EU:C:2014:317, paras 80–82.</w:t>
      </w:r>
    </w:p>
  </w:footnote>
  <w:footnote w:id="4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Ibid., para. 97.</w:t>
      </w:r>
    </w:p>
  </w:footnote>
  <w:footnote w:id="5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Ibid.</w:t>
      </w:r>
    </w:p>
  </w:footnote>
  <w:footnote w:id="6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Id., para. 99.</w:t>
      </w:r>
    </w:p>
  </w:footnote>
  <w:footnote w:id="7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Judgment of 8 April 2014, Digital Rights Ireland and Seitlinger and Others, Joined Cases C-293/12 and C-594/12, ECLI:EU:C:2014:238, paras 57–65.</w:t>
      </w:r>
    </w:p>
  </w:footnote>
  <w:footnote w:id="8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Supra note 3, para. 80.</w:t>
      </w:r>
    </w:p>
  </w:footnote>
  <w:footnote w:id="9">
    <w:p>
      <w:pPr>
        <w:pStyle w:val="FootnoteText"/>
      </w:pPr>
    </w:p>
  </w:footnote>
  <w:footnote w:id="10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Supra note 7, paras 62 and 65.</w:t>
      </w:r>
    </w:p>
  </w:footnote>
  <w:footnote w:id="11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Ibid.</w:t>
      </w:r>
    </w:p>
  </w:footnote>
  <w:footnote w:id="12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Judgment of 6 October 2015, Schrems v Data Protection Commissioner, Case C-362/14, ECLI:EU:C:2015:650, para. 94; and Judgment of 16 July 2020, Data Protection Commissioner v Facebook Ireland and Schrems, Case C-311/18, ECLI:EU:C:2020:559, para. 168.</w:t>
      </w:r>
    </w:p>
  </w:footnote>
  <w:footnote w:id="13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Ibid., para. 94.</w:t>
      </w:r>
    </w:p>
  </w:footnote>
  <w:footnote w:id="14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CJUE, 21 décembre 2016, Tele2 Sverige AB et Watson e.a., affaires jointes C-203/15 et C-698/15, ECLI:EU:C:2016:970, point 112.</w:t>
      </w:r>
    </w:p>
  </w:footnote>
  <w:footnote w:id="15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Ibidem, point 119.</w:t>
      </w:r>
    </w:p>
  </w:footnote>
  <w:footnote w:id="16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See paragraph 12 above.</w:t>
      </w:r>
    </w:p>
  </w:footnote>
  <w:footnote w:id="17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Judgment of 6 September 2017, Intel Corp. v Commission, Case C-413/14 P, ECLI:EU:C:2017:632, paras 138–139.</w:t>
      </w:r>
    </w:p>
  </w:footnote>
  <w:footnote w:id="18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Opinion of Advocate General Wahl of 20 October 2016 in Intel, ECLI:EU:C:2016:788, §§ 73-75.</w:t>
      </w:r>
    </w:p>
  </w:footnote>
  <w:footnote w:id="19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Ibid., point 74.</w:t>
      </w:r>
    </w:p>
  </w:footnote>
  <w:footnote w:id="20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Supra note 25, para. 5.</w:t>
      </w:r>
    </w:p>
  </w:footnote>
  <w:footnote w:id="21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Post Danmark, para. 44.</w:t>
      </w:r>
    </w:p>
  </w:footnote>
  <w:footnote w:id="22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Ibid., para. 45.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2"/>
    </w:rPr>
  </w:style>
  <w:style w:type="paragraph" w:styleId="FootnoteText">
    <w:name w:val="footnote text"/>
    <w:rPr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/Relationships>
</file>