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EU Case Law Citation Format — Add-in Test Document</w:t>
      </w:r>
    </w:p>
    <w:p>
      <w:pPr>
        <w:spacing w:after="300"/>
      </w:pPr>
      <w:r>
        <w:rPr>
          <w:i/>
          <w:iCs/>
        </w:rPr>
        <w:t xml:space="preserve">Purpose: this document exercises the add-in's citation-recognition logic against the full range of drafting styles lawyers actually use, from full judgment citations down to deliberately ambiguous shorthand. Each numbered section below corresponds to one test case; the footnote attached to each sentence contains the citation string being tested.</w:t>
      </w:r>
    </w:p>
    <w:p>
      <w:pPr>
        <w:pStyle w:val="Heading2"/>
        <w:spacing w:after="100" w:before="300"/>
      </w:pPr>
      <w:r>
        <w:t xml:space="preserve">2. Without “Judgment of [date]”</w:t>
      </w:r>
    </w:p>
    <w:p>
      <w:r>
        <w:t xml:space="preserve">The Court has confirmed that legal professional privilege does not extend to in-house counsel correspondence. </w:t>
      </w:r>
      <w:r>
        <w:rPr>
          <w:rStyle w:val="FootnoteReference"/>
        </w:rPr>
        <w:footnoteReference w:id="21"/>
      </w:r>
    </w:p>
    <w:p>
      <w:pPr>
        <w:pStyle w:val="Heading2"/>
        <w:spacing w:after="100" w:before="300"/>
      </w:pPr>
      <w:r>
        <w:t xml:space="preserve">3. ECLI + pinpoint only</w:t>
      </w:r>
    </w:p>
    <w:p>
      <w:r>
        <w:t xml:space="preserve">This principle was reaffirmed in subsequent case law. </w:t>
      </w:r>
      <w:r>
        <w:rPr>
          <w:rStyle w:val="FootnoteReference"/>
        </w:rPr>
        <w:footnoteReference w:id="31"/>
      </w:r>
    </w:p>
    <w:p>
      <w:pPr>
        <w:pStyle w:val="Heading2"/>
        <w:spacing w:after="100" w:before="300"/>
      </w:pPr>
      <w:r>
        <w:t xml:space="preserve">4. Case number rather than ECLI</w:t>
      </w:r>
    </w:p>
    <w:p>
      <w:r>
        <w:t xml:space="preserve">The Court's reasoning on this point remains authoritative. </w:t>
      </w:r>
      <w:r>
        <w:rPr>
          <w:rStyle w:val="FootnoteReference"/>
        </w:rPr>
        <w:footnoteReference w:id="41"/>
      </w:r>
    </w:p>
    <w:p>
      <w:pPr>
        <w:pStyle w:val="Heading2"/>
        <w:spacing w:after="100" w:before="300"/>
      </w:pPr>
      <w:r>
        <w:t xml:space="preserve">5. Case name only</w:t>
      </w:r>
    </w:p>
    <w:p>
      <w:r>
        <w:t xml:space="preserve">Commentators have widely discussed the implications of this ruling. </w:t>
      </w:r>
      <w:r>
        <w:rPr>
          <w:rStyle w:val="FootnoteReference"/>
        </w:rPr>
        <w:footnoteReference w:id="51"/>
      </w:r>
    </w:p>
    <w:p>
      <w:pPr>
        <w:pStyle w:val="Heading2"/>
        <w:spacing w:after="100" w:before="300"/>
      </w:pPr>
      <w:r>
        <w:t xml:space="preserve">6. Common shortened drafting style</w:t>
      </w:r>
    </w:p>
    <w:p>
      <w:r>
        <w:t xml:space="preserve">The same point is made elsewhere in the judgment. </w:t>
      </w:r>
      <w:r>
        <w:rPr>
          <w:rStyle w:val="FootnoteReference"/>
        </w:rPr>
        <w:footnoteReference w:id="61"/>
      </w:r>
    </w:p>
    <w:p>
      <w:pPr>
        <w:pStyle w:val="Heading2"/>
        <w:spacing w:after="100" w:before="300"/>
      </w:pPr>
      <w:r>
        <w:t xml:space="preserve">7. Multiple consecutive paragraphs</w:t>
      </w:r>
    </w:p>
    <w:p>
      <w:r>
        <w:t xml:space="preserve">The Court elaborated on this reasoning across several paragraphs. </w:t>
      </w:r>
      <w:r>
        <w:rPr>
          <w:rStyle w:val="FootnoteReference"/>
        </w:rPr>
        <w:footnoteReference w:id="71"/>
      </w:r>
    </w:p>
    <w:p>
      <w:pPr>
        <w:pStyle w:val="Heading2"/>
        <w:spacing w:after="100" w:before="300"/>
      </w:pPr>
      <w:r>
        <w:t xml:space="preserve">8. Consecutive + non-consecutive paragraphs</w:t>
      </w:r>
    </w:p>
    <w:p>
      <w:r>
        <w:t xml:space="preserve">Further support can be found scattered throughout the judgment. </w:t>
      </w:r>
      <w:r>
        <w:rPr>
          <w:rStyle w:val="FootnoteReference"/>
        </w:rPr>
        <w:footnoteReference w:id="81"/>
      </w:r>
    </w:p>
    <w:p>
      <w:pPr>
        <w:pStyle w:val="Heading2"/>
        <w:spacing w:after="100" w:before="300"/>
      </w:pPr>
      <w:r>
        <w:t xml:space="preserve">9. Alternative punctuation/abbreviations</w:t>
      </w:r>
    </w:p>
    <w:p>
      <w:r>
        <w:t xml:space="preserve">Some drafters prefer section-mark notation for pinpoints. </w:t>
      </w:r>
      <w:r>
        <w:rPr>
          <w:rStyle w:val="FootnoteReference"/>
        </w:rPr>
        <w:footnoteReference w:id="91"/>
      </w:r>
    </w:p>
    <w:p>
      <w:pPr>
        <w:pStyle w:val="Heading2"/>
        <w:spacing w:after="100" w:before="300"/>
      </w:pPr>
      <w:r>
        <w:t xml:space="preserve">10. Defined reference</w:t>
      </w:r>
    </w:p>
    <w:p>
      <w:r>
        <w:t xml:space="preserve">This decision established the leading precedent on the subject. </w:t>
      </w:r>
      <w:r>
        <w:rPr>
          <w:rStyle w:val="FootnoteReference"/>
        </w:rPr>
        <w:footnoteReference w:id="101"/>
      </w:r>
    </w:p>
    <w:p>
      <w:r>
        <w:t xml:space="preserve">The Court later returned to this reasoning. </w:t>
      </w:r>
      <w:r>
        <w:rPr>
          <w:rStyle w:val="FootnoteReference"/>
        </w:rPr>
        <w:footnoteReference w:id="102"/>
      </w:r>
    </w:p>
    <w:p>
      <w:pPr>
        <w:pStyle w:val="Heading2"/>
        <w:spacing w:after="100" w:before="300"/>
      </w:pPr>
      <w:r>
        <w:t xml:space="preserve">11. Defined reference with pinpoint in initial citation</w:t>
      </w:r>
    </w:p>
    <w:p>
      <w:r>
        <w:t xml:space="preserve">The point was addressed directly by the Court. </w:t>
      </w:r>
      <w:r>
        <w:rPr>
          <w:rStyle w:val="FootnoteReference"/>
        </w:rPr>
        <w:footnoteReference w:id="111"/>
      </w:r>
    </w:p>
    <w:p>
      <w:r>
        <w:t xml:space="preserve">It was subsequently confirmed in a later passage. </w:t>
      </w:r>
      <w:r>
        <w:rPr>
          <w:rStyle w:val="FootnoteReference"/>
        </w:rPr>
        <w:footnoteReference w:id="112"/>
      </w:r>
    </w:p>
    <w:p>
      <w:pPr>
        <w:pStyle w:val="Heading2"/>
        <w:spacing w:after="100" w:before="300"/>
      </w:pPr>
      <w:r>
        <w:t xml:space="preserve">12. AG Opinion — same underlying case</w:t>
      </w:r>
    </w:p>
    <w:p>
      <w:r>
        <w:t xml:space="preserve">The Advocate General took a similar view in her Opinion. </w:t>
      </w:r>
      <w:r>
        <w:rPr>
          <w:rStyle w:val="FootnoteReference"/>
        </w:rPr>
        <w:footnoteReference w:id="121"/>
      </w:r>
    </w:p>
    <w:p>
      <w:pPr>
        <w:pStyle w:val="Heading2"/>
        <w:spacing w:after="100" w:before="300"/>
      </w:pPr>
      <w:r>
        <w:t xml:space="preserve">13. AG Opinion without identifying it as an Opinion</w:t>
      </w:r>
    </w:p>
    <w:p>
      <w:r>
        <w:t xml:space="preserve">A similar analysis appears in the Advocate General's reasoning, though not labelled as such here. </w:t>
      </w:r>
      <w:r>
        <w:rPr>
          <w:rStyle w:val="FootnoteReference"/>
        </w:rPr>
        <w:footnoteReference w:id="131"/>
      </w:r>
    </w:p>
    <w:p>
      <w:pPr>
        <w:spacing w:before="60"/>
      </w:pPr>
      <w:r>
        <w:rPr>
          <w:i/>
          <w:iCs/>
          <w:color w:val="666666"/>
        </w:rPr>
        <w:t xml:space="preserve">Expected: Should infer from the ECLI that this is the AG Opinion, rather than the judgment.</w:t>
      </w:r>
    </w:p>
    <w:p>
      <w:pPr>
        <w:pStyle w:val="Heading2"/>
        <w:spacing w:after="100" w:before="300"/>
      </w:pPr>
      <w:r>
        <w:t xml:space="preserve">14. Order — again same case, different document</w:t>
      </w:r>
    </w:p>
    <w:p>
      <w:r>
        <w:t xml:space="preserve">The Court's procedural order in the same case is also of interest. </w:t>
      </w:r>
      <w:r>
        <w:rPr>
          <w:rStyle w:val="FootnoteReference"/>
        </w:rPr>
        <w:footnoteReference w:id="141"/>
      </w:r>
    </w:p>
    <w:p>
      <w:pPr>
        <w:pStyle w:val="Heading2"/>
        <w:spacing w:after="100" w:before="300"/>
      </w:pPr>
      <w:r>
        <w:t xml:space="preserve">15. Legislation — full</w:t>
      </w:r>
    </w:p>
    <w:p>
      <w:r>
        <w:t xml:space="preserve">The obligation is set out expressly in the relevant Regulation. </w:t>
      </w:r>
      <w:r>
        <w:rPr>
          <w:rStyle w:val="FootnoteReference"/>
        </w:rPr>
        <w:footnoteReference w:id="151"/>
      </w:r>
    </w:p>
    <w:p>
      <w:pPr>
        <w:pStyle w:val="Heading2"/>
        <w:spacing w:after="100" w:before="300"/>
      </w:pPr>
      <w:r>
        <w:t xml:space="preserve">16. Legislation — shorthand</w:t>
      </w:r>
    </w:p>
    <w:p>
      <w:r>
        <w:t xml:space="preserve">The Regulation introduces a self-preferencing prohibition. </w:t>
      </w:r>
      <w:r>
        <w:rPr>
          <w:rStyle w:val="FootnoteReference"/>
        </w:rPr>
        <w:footnoteReference w:id="161"/>
      </w:r>
    </w:p>
    <w:p>
      <w:r>
        <w:t xml:space="preserve">This obligation is central to the gatekeeper regime. </w:t>
      </w:r>
      <w:r>
        <w:rPr>
          <w:rStyle w:val="FootnoteReference"/>
        </w:rPr>
        <w:footnoteReference w:id="162"/>
      </w:r>
    </w:p>
    <w:p>
      <w:pPr>
        <w:pStyle w:val="Heading2"/>
        <w:spacing w:after="100" w:before="300"/>
      </w:pPr>
      <w:r>
        <w:t xml:space="preserve">17. Legislation — recital</w:t>
      </w:r>
    </w:p>
    <w:p>
      <w:r>
        <w:t xml:space="preserve">The recitals shed further light on the legislature's intent. </w:t>
      </w:r>
      <w:r>
        <w:rPr>
          <w:rStyle w:val="FootnoteReference"/>
        </w:rPr>
        <w:footnoteReference w:id="171"/>
      </w:r>
    </w:p>
    <w:p>
      <w:pPr>
        <w:pStyle w:val="Heading2"/>
        <w:spacing w:after="100" w:before="300"/>
      </w:pPr>
      <w:r>
        <w:t xml:space="preserve">18. Citation embedded in substantive footnote text</w:t>
      </w:r>
    </w:p>
    <w:p>
      <w:r>
        <w:t xml:space="preserve">This conclusion is well supported in the case law. </w:t>
      </w:r>
      <w:r>
        <w:rPr>
          <w:rStyle w:val="FootnoteReference"/>
        </w:rPr>
        <w:footnoteReference w:id="181"/>
      </w:r>
    </w:p>
    <w:p>
      <w:pPr>
        <w:pStyle w:val="Heading2"/>
        <w:spacing w:after="100" w:before="300"/>
      </w:pPr>
      <w:r>
        <w:t xml:space="preserve">19. Two authorities in the same footnote</w:t>
      </w:r>
    </w:p>
    <w:p>
      <w:r>
        <w:t xml:space="preserve">Both lines of authority point to the same conclusion. </w:t>
      </w:r>
      <w:r>
        <w:rPr>
          <w:rStyle w:val="FootnoteReference"/>
        </w:rPr>
        <w:footnoteReference w:id="191"/>
      </w:r>
    </w:p>
    <w:p>
      <w:pPr>
        <w:spacing w:before="60"/>
      </w:pPr>
      <w:r>
        <w:rPr>
          <w:i/>
          <w:iCs/>
          <w:color w:val="666666"/>
        </w:rPr>
        <w:t xml:space="preserve">Expected: Two independently interactive citations within one footnote.</w:t>
      </w:r>
    </w:p>
    <w:p>
      <w:pPr>
        <w:pStyle w:val="Heading2"/>
        <w:spacing w:after="100" w:before="300"/>
      </w:pPr>
      <w:r>
        <w:t xml:space="preserve">20. Deliberately ambiguous / insufficient</w:t>
      </w:r>
    </w:p>
    <w:p>
      <w:r>
        <w:t xml:space="preserve">The point was already settled in earlier case law. </w:t>
      </w:r>
      <w:r>
        <w:rPr>
          <w:rStyle w:val="FootnoteReference"/>
        </w:rPr>
        <w:footnoteReference w:id="201"/>
      </w:r>
    </w:p>
    <w:p>
      <w:pPr>
        <w:spacing w:before="60"/>
      </w:pPr>
      <w:r>
        <w:rPr>
          <w:i/>
          <w:iCs/>
          <w:color w:val="666666"/>
        </w:rPr>
        <w:t xml:space="preserve">Expected: Insufficient information to resolve to a specific ECLI without additional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21">
    <w:p>
      <w:r>
        <w:rPr>
          <w:rStyle w:val="FootnoteReference"/>
        </w:rPr>
        <w:footnoteRef/>
      </w:r>
      <w:r>
        <w:t xml:space="preserve">Akzo Nobel Chemicals and Akcros Chemicals v Commission, ECLI:EU:C:2010:512, para. 40.</w:t>
      </w:r>
    </w:p>
  </w:footnote>
  <w:footnote w:id="31">
    <w:p>
      <w:r>
        <w:rPr>
          <w:rStyle w:val="FootnoteReference"/>
        </w:rPr>
        <w:footnoteRef/>
      </w:r>
      <w:r>
        <w:t xml:space="preserve">ECLI:EU:C:2010:512, para. 40.</w:t>
      </w:r>
    </w:p>
  </w:footnote>
  <w:footnote w:id="41">
    <w:p>
      <w:r>
        <w:rPr>
          <w:rStyle w:val="FootnoteReference"/>
        </w:rPr>
        <w:footnoteRef/>
      </w:r>
      <w:r>
        <w:t xml:space="preserve">Case C-550/07 P, Akzo Nobel Chemicals and Akcros Chemicals v Commission, para. 40.</w:t>
      </w:r>
    </w:p>
  </w:footnote>
  <w:footnote w:id="51">
    <w:p>
      <w:r>
        <w:rPr>
          <w:rStyle w:val="FootnoteReference"/>
        </w:rPr>
        <w:footnoteRef/>
      </w:r>
      <w:r>
        <w:t xml:space="preserve">Akzo Nobel v Commission, para. 40.</w:t>
      </w:r>
    </w:p>
  </w:footnote>
  <w:footnote w:id="61">
    <w:p>
      <w:r>
        <w:rPr>
          <w:rStyle w:val="FootnoteReference"/>
        </w:rPr>
        <w:footnoteRef/>
      </w:r>
      <w:r>
        <w:t xml:space="preserve">Akzo Nobel, para. 40.</w:t>
      </w:r>
    </w:p>
  </w:footnote>
  <w:footnote w:id="71">
    <w:p>
      <w:r>
        <w:rPr>
          <w:rStyle w:val="FootnoteReference"/>
        </w:rPr>
        <w:footnoteRef/>
      </w:r>
      <w:r>
        <w:t xml:space="preserve">Akzo Nobel, paras 40–44.</w:t>
      </w:r>
    </w:p>
  </w:footnote>
  <w:footnote w:id="81">
    <w:p>
      <w:r>
        <w:rPr>
          <w:rStyle w:val="FootnoteReference"/>
        </w:rPr>
        <w:footnoteRef/>
      </w:r>
      <w:r>
        <w:t xml:space="preserve">Akzo Nobel, paras 40–44, 46 and 48.</w:t>
      </w:r>
    </w:p>
  </w:footnote>
  <w:footnote w:id="91">
    <w:p>
      <w:r>
        <w:rPr>
          <w:rStyle w:val="FootnoteReference"/>
        </w:rPr>
        <w:footnoteRef/>
      </w:r>
      <w:r>
        <w:t xml:space="preserve">Akzo Nobel (C-550/07 P), §§ 40-44, 46.</w:t>
      </w:r>
    </w:p>
  </w:footnote>
  <w:footnote w:id="101">
    <w:p>
      <w:r>
        <w:rPr>
          <w:rStyle w:val="FootnoteReference"/>
        </w:rPr>
        <w:footnoteRef/>
      </w:r>
      <w:r>
        <w:t xml:space="preserve">Judgment of 14 September 2010, Akzo Nobel Chemicals and Akcros Chemicals v Commission, ECLI:EU:C:2010:512 (“Akzo Nobel”).</w:t>
      </w:r>
    </w:p>
  </w:footnote>
  <w:footnote w:id="102">
    <w:p>
      <w:r>
        <w:rPr>
          <w:rStyle w:val="FootnoteReference"/>
        </w:rPr>
        <w:footnoteRef/>
      </w:r>
      <w:r>
        <w:t xml:space="preserve">Akzo Nobel, paras 40–44.</w:t>
      </w:r>
    </w:p>
  </w:footnote>
  <w:footnote w:id="111">
    <w:p>
      <w:r>
        <w:rPr>
          <w:rStyle w:val="FootnoteReference"/>
        </w:rPr>
        <w:footnoteRef/>
      </w:r>
      <w:r>
        <w:t xml:space="preserve">Judgment of 14 September 2010, Akzo Nobel Chemicals and Akcros Chemicals v Commission, ECLI:EU:C:2010:512, para. 40 (“Akzo Nobel”).</w:t>
      </w:r>
    </w:p>
  </w:footnote>
  <w:footnote w:id="112">
    <w:p>
      <w:r>
        <w:rPr>
          <w:rStyle w:val="FootnoteReference"/>
        </w:rPr>
        <w:footnoteRef/>
      </w:r>
      <w:r>
        <w:t xml:space="preserve">Akzo Nobel, para. 45.</w:t>
      </w:r>
    </w:p>
  </w:footnote>
  <w:footnote w:id="121">
    <w:p>
      <w:r>
        <w:rPr>
          <w:rStyle w:val="FootnoteReference"/>
        </w:rPr>
        <w:footnoteRef/>
      </w:r>
      <w:r>
        <w:t xml:space="preserve">Opinion of Advocate General Kokott of 29 April 2010, Akzo Nobel Chemicals and Akcros Chemicals v Commission, ECLI:EU:C:2010:229, paras 60–63.</w:t>
      </w:r>
    </w:p>
  </w:footnote>
  <w:footnote w:id="131">
    <w:p>
      <w:r>
        <w:rPr>
          <w:rStyle w:val="FootnoteReference"/>
        </w:rPr>
        <w:footnoteRef/>
      </w:r>
      <w:r>
        <w:t xml:space="preserve">Akzo Nobel Chemicals and Akcros Chemicals v Commission, ECLI:EU:C:2010:229, para. 60.</w:t>
      </w:r>
    </w:p>
  </w:footnote>
  <w:footnote w:id="141">
    <w:p>
      <w:r>
        <w:rPr>
          <w:rStyle w:val="FootnoteReference"/>
        </w:rPr>
        <w:footnoteRef/>
      </w:r>
      <w:r>
        <w:t xml:space="preserve">Order of 17 November 2009, Akzo Nobel Chemicals and Akcros Chemicals v Commission, ECLI:EU:C:2009:712, para. 15.</w:t>
      </w:r>
    </w:p>
  </w:footnote>
  <w:footnote w:id="151">
    <w:p>
      <w:r>
        <w:rPr>
          <w:rStyle w:val="FootnoteReference"/>
        </w:rPr>
        <w:footnoteRef/>
      </w:r>
      <w:r>
        <w:t xml:space="preserve">Regulation (EU) 2022/1925 (Digital Markets Act), Article 6(5).</w:t>
      </w:r>
    </w:p>
  </w:footnote>
  <w:footnote w:id="161">
    <w:p>
      <w:r>
        <w:rPr>
          <w:rStyle w:val="FootnoteReference"/>
        </w:rPr>
        <w:footnoteRef/>
      </w:r>
      <w:r>
        <w:t xml:space="preserve">Regulation (EU) 2022/1925 (the “DMA”).</w:t>
      </w:r>
    </w:p>
  </w:footnote>
  <w:footnote w:id="162">
    <w:p>
      <w:r>
        <w:rPr>
          <w:rStyle w:val="FootnoteReference"/>
        </w:rPr>
        <w:footnoteRef/>
      </w:r>
      <w:r>
        <w:t xml:space="preserve">DMA, Article 6(5).</w:t>
      </w:r>
    </w:p>
  </w:footnote>
  <w:footnote w:id="171">
    <w:p>
      <w:r>
        <w:rPr>
          <w:rStyle w:val="FootnoteReference"/>
        </w:rPr>
        <w:footnoteRef/>
      </w:r>
      <w:r>
        <w:t xml:space="preserve">Regulation (EU) 2022/1925, recital 65.</w:t>
      </w:r>
    </w:p>
  </w:footnote>
  <w:footnote w:id="181">
    <w:p>
      <w:r>
        <w:rPr>
          <w:rStyle w:val="FootnoteReference"/>
        </w:rPr>
        <w:footnoteRef/>
      </w:r>
      <w:r>
        <w:t xml:space="preserve">See, in that regard, Judgment of 14 September 2010, Akzo Nobel Chemicals and Akcros Chemicals v Commission, ECLI:EU:C:2010:512, paras 40–44, in particular para. 41.</w:t>
      </w:r>
    </w:p>
  </w:footnote>
  <w:footnote w:id="191">
    <w:p>
      <w:r>
        <w:rPr>
          <w:rStyle w:val="FootnoteReference"/>
        </w:rPr>
        <w:footnoteRef/>
      </w:r>
      <w:r>
        <w:t xml:space="preserve">See Akzo Nobel, ECLI:EU:C:2010:512, para. 40; and [second authority], paras 25–27.</w:t>
      </w:r>
    </w:p>
  </w:footnote>
  <w:footnote w:id="201">
    <w:p>
      <w:r>
        <w:rPr>
          <w:rStyle w:val="FootnoteReference"/>
        </w:rPr>
        <w:footnoteRef/>
      </w:r>
      <w:r>
        <w:t xml:space="preserve">Intel, para. 132.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2026-08-12T19:26:05.491Z</dcterms:created>
  <dcterms:modified xsi:type="dcterms:W3CDTF">2026-08-12T19:26:05.504Z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