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aramond" w:cs="Garamond" w:eastAsia="Garamond" w:hAnsi="Garamond"/>
          <w:b/>
          <w:bCs/>
          <w:sz w:val="24"/>
          <w:szCs w:val="24"/>
        </w:rPr>
        <w:t xml:space="preserve">CABINET SPÉCIMEN &amp; ASSOCIÉS (CABINET FICTIF)</w:t>
      </w:r>
    </w:p>
    <w:p>
      <w:pPr>
        <w:spacing w:after="400"/>
        <w:jc w:val="center"/>
      </w:pPr>
      <w:r>
        <w:rPr>
          <w:rFonts w:ascii="Garamond" w:cs="Garamond" w:eastAsia="Garamond" w:hAnsi="Garamond"/>
          <w:i/>
          <w:iCs/>
          <w:sz w:val="20"/>
          <w:szCs w:val="20"/>
        </w:rPr>
        <w:t xml:space="preserve">Bruxelles – EU Regulatory &amp; Data Protection Practice</w:t>
      </w:r>
    </w:p>
    <w:p>
      <w:pPr>
        <w:spacing w:after="100"/>
      </w:pPr>
      <w:r>
        <w:rPr>
          <w:rFonts w:ascii="Garamond" w:cs="Garamond" w:eastAsia="Garamond" w:hAnsi="Garamond"/>
          <w:b/>
          <w:bCs/>
          <w:sz w:val="24"/>
          <w:szCs w:val="24"/>
        </w:rPr>
        <w:t xml:space="preserve">NOTE JURIDIQUE / LEGAL MEMORANDUM — DOCUMENT D’EXEMPLE</w:t>
      </w:r>
    </w:p>
    <w:p>
      <w:pPr>
        <w:spacing w:after="60"/>
      </w:pPr>
      <w:r>
        <w:rPr>
          <w:rFonts w:ascii="Garamond" w:cs="Garamond" w:eastAsia="Garamond" w:hAnsi="Garamond"/>
          <w:sz w:val="22"/>
          <w:szCs w:val="22"/>
        </w:rPr>
        <w:t xml:space="preserve">À l'attention de : Direction juridique (destinataire fictif)</w:t>
      </w:r>
    </w:p>
    <w:p>
      <w:pPr>
        <w:spacing w:after="60"/>
      </w:pPr>
      <w:r>
        <w:rPr>
          <w:rFonts w:ascii="Garamond" w:cs="Garamond" w:eastAsia="Garamond" w:hAnsi="Garamond"/>
          <w:sz w:val="22"/>
          <w:szCs w:val="22"/>
        </w:rPr>
        <w:t xml:space="preserve">De : Me A. Spécimen (nom fictif, personne inexistante)</w:t>
      </w:r>
    </w:p>
    <w:p>
      <w:pPr>
        <w:spacing w:after="60"/>
      </w:pPr>
      <w:r>
        <w:rPr>
          <w:rFonts w:ascii="Garamond" w:cs="Garamond" w:eastAsia="Garamond" w:hAnsi="Garamond"/>
          <w:sz w:val="22"/>
          <w:szCs w:val="22"/>
        </w:rPr>
        <w:t xml:space="preserve">Date : 11 août 2026</w:t>
      </w:r>
    </w:p>
    <w:p>
      <w:pPr>
        <w:spacing w:after="300"/>
      </w:pPr>
      <w:r>
        <w:rPr>
          <w:rFonts w:ascii="Garamond" w:cs="Garamond" w:eastAsia="Garamond" w:hAnsi="Garamond"/>
          <w:b/>
          <w:bCs/>
          <w:sz w:val="22"/>
          <w:szCs w:val="22"/>
        </w:rPr>
        <w:t xml:space="preserve">Objet : Conservation généralisée et indédifferenciée des données de trafic et de localisation – conformité avec le droit de l'Union</w:t>
      </w:r>
    </w:p>
    <w:p>
      <w:pPr>
        <w:pStyle w:val="Heading1"/>
        <w:spacing w:after="200" w:before="320"/>
      </w:pPr>
      <w:r>
        <w:rPr>
          <w:rFonts w:ascii="Garamond" w:cs="Garamond" w:eastAsia="Garamond" w:hAnsi="Garamond"/>
          <w:b/>
          <w:bCs/>
          <w:sz w:val="26"/>
          <w:szCs w:val="26"/>
        </w:rPr>
        <w:t xml:space="preserve">I. Question posée</w:t>
      </w:r>
    </w:p>
    <w:p>
      <w:pPr>
        <w:spacing w:after="220" w:line="360"/>
        <w:jc w:val="both"/>
      </w:pPr>
      <w:r>
        <w:rPr>
          <w:rFonts w:ascii="Garamond" w:cs="Garamond" w:eastAsia="Garamond" w:hAnsi="Garamond"/>
          <w:sz w:val="24"/>
          <w:szCs w:val="24"/>
        </w:rPr>
        <w:t xml:space="preserve">Le client nous consulte sur la conformité avec le droit de l'Union européenne d'un projet de loi nationale imposant aux fournisseurs de services de communications électroniques une obligation de conservation généralisée et indédifferenciée des données de trafic et de localisation, à des fins de lutte contre la criminalité grave et de sauvegarde de la sécurité nationale.</w:t>
      </w:r>
    </w:p>
    <w:p>
      <w:pPr>
        <w:pStyle w:val="Heading1"/>
        <w:spacing w:after="200" w:before="320"/>
      </w:pPr>
      <w:r>
        <w:rPr>
          <w:rFonts w:ascii="Garamond" w:cs="Garamond" w:eastAsia="Garamond" w:hAnsi="Garamond"/>
          <w:b/>
          <w:bCs/>
          <w:sz w:val="26"/>
          <w:szCs w:val="26"/>
        </w:rPr>
        <w:t xml:space="preserve">II. Cadre juridique applicable</w:t>
      </w:r>
    </w:p>
    <w:p>
      <w:pPr>
        <w:spacing w:after="220" w:line="360"/>
        <w:jc w:val="both"/>
      </w:pPr>
      <w:r>
        <w:rPr>
          <w:rFonts w:ascii="Garamond" w:cs="Garamond" w:eastAsia="Garamond" w:hAnsi="Garamond"/>
          <w:sz w:val="24"/>
          <w:szCs w:val="24"/>
        </w:rPr>
        <w:t xml:space="preserve">L'article 15, paragraphe 1, de la directive 2002/58/CE du Parlement européen et du Conseil du 12 juillet 2002 concernant le traitement des données à caractère personnel et la protection de la vie privée dans le secteur des communications électroniques</w:t>
      </w:r>
      <w:r>
        <w:rPr>
          <w:rStyle w:val="FootnoteReference"/>
        </w:rPr>
        <w:footnoteReference w:id="1"/>
      </w:r>
      <w:r>
        <w:rPr>
          <w:rFonts w:ascii="Garamond" w:cs="Garamond" w:eastAsia="Garamond" w:hAnsi="Garamond"/>
          <w:sz w:val="24"/>
          <w:szCs w:val="24"/>
        </w:rPr>
        <w:t xml:space="preserve"> permet aux États membres d'adopter des mesures législatives visant à limiter la portée des droits et obligations prévus par cette directive, notamment lorsqu'une telle limitation constitue une mesure nécessaire, appropriée et proportionnée, au sein d'une société démocratique, pour sauvegarder la sécurité nationale et prévenir, rechercher, détecter et poursuivre les infractions pénales.</w:t>
      </w:r>
    </w:p>
    <w:p>
      <w:pPr>
        <w:spacing w:after="220" w:line="360"/>
        <w:jc w:val="both"/>
      </w:pPr>
      <w:r>
        <w:rPr>
          <w:rFonts w:ascii="Garamond" w:cs="Garamond" w:eastAsia="Garamond" w:hAnsi="Garamond"/>
          <w:sz w:val="24"/>
          <w:szCs w:val="24"/>
        </w:rPr>
        <w:t xml:space="preserve">Cette disposition doit être lue à la lumière des articles 7, 8 et 11 de la Charte des droits fondamentaux de l'Union européenne, qui consacrent respectivement le droit au respect de la vie privée, le droit à la protection des données à caractère personnel et la liberté d'expression.</w:t>
      </w:r>
    </w:p>
    <w:p>
      <w:pPr>
        <w:pStyle w:val="Heading1"/>
        <w:spacing w:after="200" w:before="320"/>
      </w:pPr>
      <w:r>
        <w:rPr>
          <w:rFonts w:ascii="Garamond" w:cs="Garamond" w:eastAsia="Garamond" w:hAnsi="Garamond"/>
          <w:b/>
          <w:bCs/>
          <w:sz w:val="26"/>
          <w:szCs w:val="26"/>
        </w:rPr>
        <w:t xml:space="preserve">III. Analyse de la jurisprudence de la Cour de justice</w:t>
      </w:r>
    </w:p>
    <w:p>
      <w:pPr>
        <w:pStyle w:val="Heading2"/>
        <w:spacing w:after="200" w:before="320"/>
      </w:pPr>
      <w:r>
        <w:rPr>
          <w:rFonts w:ascii="Garamond" w:cs="Garamond" w:eastAsia="Garamond" w:hAnsi="Garamond"/>
          <w:b/>
          <w:bCs/>
          <w:sz w:val="26"/>
          <w:szCs w:val="26"/>
        </w:rPr>
        <w:t xml:space="preserve">A. L'invalidation de la directive 2006/24/CE</w:t>
      </w:r>
    </w:p>
    <w:p>
      <w:pPr>
        <w:spacing w:after="220" w:line="360"/>
        <w:jc w:val="both"/>
      </w:pPr>
      <w:r>
        <w:rPr>
          <w:rFonts w:ascii="Garamond" w:cs="Garamond" w:eastAsia="Garamond" w:hAnsi="Garamond"/>
          <w:sz w:val="24"/>
          <w:szCs w:val="24"/>
        </w:rPr>
        <w:t xml:space="preserve">Dans l'arrêt Digital Rights Ireland, la Cour a invalidé la directive 2006/24/CE relative à la conservation des données générées ou traitées dans le cadre de la fourniture de services de communications électroniques, au motif que l'obligation de conservation généralisée qu'elle imposait, sans aucune différenciation, limitation ou exception en fonction de l'objectif de lutte contre les infractions graves, constituait une ingérence dans les droits garantis par les articles 7 et 8 de la Charte qui n'était pas limitée au strict nécessaire.</w:t>
      </w:r>
      <w:r>
        <w:rPr>
          <w:rStyle w:val="FootnoteReference"/>
        </w:rPr>
        <w:footnoteReference w:id="2"/>
      </w:r>
      <w:r>
        <w:rPr>
          <w:rFonts w:ascii="Garamond" w:cs="Garamond" w:eastAsia="Garamond" w:hAnsi="Garamond"/>
          <w:sz w:val="24"/>
          <w:szCs w:val="24"/>
        </w:rPr>
        <w:t xml:space="preserve"> La Cour a en particulier reproché à la directive de couvrir, de manière générale, toute personne et tout moyen de communication électronique ainsi que l'ensemble des données relatives au trafic sans qu'aucune limitation ne soit opérée en fonction d'un objectif de lutte contre des infractions suffisamment graves.</w:t>
      </w:r>
    </w:p>
    <w:p>
      <w:pPr>
        <w:pStyle w:val="Heading2"/>
        <w:spacing w:after="200" w:before="320"/>
      </w:pPr>
      <w:r>
        <w:rPr>
          <w:rFonts w:ascii="Garamond" w:cs="Garamond" w:eastAsia="Garamond" w:hAnsi="Garamond"/>
          <w:b/>
          <w:bCs/>
          <w:sz w:val="26"/>
          <w:szCs w:val="26"/>
        </w:rPr>
        <w:t xml:space="preserve">B. La transposition des principes de l'arrêt Digital Rights Ireland à l'article 15, paragraphe 1, de la directive 2002/58/CE</w:t>
      </w:r>
    </w:p>
    <w:p>
      <w:pPr>
        <w:spacing w:after="220" w:line="360"/>
        <w:jc w:val="both"/>
      </w:pPr>
      <w:r>
        <w:rPr>
          <w:rFonts w:ascii="Garamond" w:cs="Garamond" w:eastAsia="Garamond" w:hAnsi="Garamond"/>
          <w:sz w:val="24"/>
          <w:szCs w:val="24"/>
        </w:rPr>
        <w:t xml:space="preserve">Dans l'arrêt Tele2 Sverige et Watson, la Cour a confirmé que l'article 15, paragraphe 1, de la directive 2002/58/CE, lu à la lumière des articles 7, 8, 11 et 52, paragraphe 1, de la Charte, s'oppose à une réglementation nationale prévoyant, à des fins de lutte contre la criminalité, une conservation généralisée et indédifferenciée de l'ensemble des données relatives au trafic et à la localisation de tous les abonnés et utilisateurs inscrits concernant tous les moyens de communication électronique.</w:t>
      </w:r>
      <w:r>
        <w:rPr>
          <w:rStyle w:val="FootnoteReference"/>
        </w:rPr>
        <w:footnoteReference w:id="3"/>
      </w:r>
      <w:r>
        <w:rPr>
          <w:rFonts w:ascii="Garamond" w:cs="Garamond" w:eastAsia="Garamond" w:hAnsi="Garamond"/>
          <w:sz w:val="24"/>
          <w:szCs w:val="24"/>
        </w:rPr>
        <w:t xml:space="preserve"> La Cour y précise que seule une conservation ciblée, limitée au strict nécessaire en ce qui concerne les catégories de données, les moyens de communication, les personnes concernées et la durée de conservation, est susceptible de satisfaire au critère de proportionnalité.</w:t>
      </w:r>
    </w:p>
    <w:p>
      <w:pPr>
        <w:spacing w:after="220" w:line="360"/>
        <w:jc w:val="both"/>
      </w:pPr>
      <w:r>
        <w:rPr>
          <w:rFonts w:ascii="Garamond" w:cs="Garamond" w:eastAsia="Garamond" w:hAnsi="Garamond"/>
          <w:sz w:val="24"/>
          <w:szCs w:val="24"/>
        </w:rPr>
        <w:t xml:space="preserve">La Cour a ultérieurement confirmé et affiné cette jurisprudence dans l'arrêt La Quadrature du Net e.a., en admettant toutefois qu'une injonction de conservation généralisée et indédifferenciée des données de trafic et de localisation puisse être justifiée, à titre exceptionnel et temporaire, lorsqu'un État membre fait face à une menace grave pour la sécurité nationale qui s'avère réelle et actuelle ou prévisible, sous réserve d'un contrôle effectif par une juridiction ou une autorité administrative indépendante.</w:t>
      </w:r>
      <w:r>
        <w:rPr>
          <w:rStyle w:val="FootnoteReference"/>
        </w:rPr>
        <w:footnoteReference w:id="4"/>
      </w:r>
    </w:p>
    <w:p>
      <w:pPr>
        <w:spacing w:after="220" w:line="360"/>
        <w:jc w:val="both"/>
      </w:pPr>
      <w:r>
        <w:rPr>
          <w:rFonts w:ascii="Garamond" w:cs="Garamond" w:eastAsia="Garamond" w:hAnsi="Garamond"/>
          <w:sz w:val="24"/>
          <w:szCs w:val="24"/>
        </w:rPr>
        <w:t xml:space="preserve">Cette lecture a été réaffirmée dans l'arrêt Commissioner of An Garda Síochána, rendu à propos du régime irlandais de conservation des données, dans lequel la Cour a rappelé que le droit de l'Union s'oppose à des mesures législatives prévoyant, à titre préventif, aux fins de la lutte contre la criminalité grave et de la prévention des menaces graves contre la sécurité publique, une conservation généralisée et indédifferenciée des données relatives au trafic et à la localisation.</w:t>
      </w:r>
      <w:r>
        <w:rPr>
          <w:rStyle w:val="FootnoteReference"/>
        </w:rPr>
        <w:footnoteReference w:id="5"/>
      </w:r>
    </w:p>
    <w:p>
      <w:pPr>
        <w:pStyle w:val="Heading2"/>
        <w:spacing w:after="200" w:before="320"/>
      </w:pPr>
      <w:r>
        <w:rPr>
          <w:rFonts w:ascii="Garamond" w:cs="Garamond" w:eastAsia="Garamond" w:hAnsi="Garamond"/>
          <w:b/>
          <w:bCs/>
          <w:sz w:val="26"/>
          <w:szCs w:val="26"/>
        </w:rPr>
        <w:t xml:space="preserve">C. Le rappel récent de la primauté de ces principes sur les régimes nationaux dérogatoires</w:t>
      </w:r>
    </w:p>
    <w:p>
      <w:pPr>
        <w:spacing w:after="220" w:line="360"/>
        <w:jc w:val="both"/>
      </w:pPr>
      <w:r>
        <w:rPr>
          <w:rFonts w:ascii="Garamond" w:cs="Garamond" w:eastAsia="Garamond" w:hAnsi="Garamond"/>
          <w:sz w:val="24"/>
          <w:szCs w:val="24"/>
        </w:rPr>
        <w:t xml:space="preserve">Plus récemment, la Cour a jugé, dans l'affaire SpaceNet et Telekom Deutschland, que le régime allemand de conservation préventive des données de trafic et de localisation, bien que limité à des durées de quatre à dix semaines selon les catégories de données, demeurait constitutif d'une conservation généralisée et indédifferenciée incompatible avec l'article 15, paragraphe 1, de la directive 2002/58/CE en l'absence de circonstances propres à une menace grave pour la sécurité nationale.</w:t>
      </w:r>
      <w:r>
        <w:rPr>
          <w:rStyle w:val="FootnoteReference"/>
        </w:rPr>
        <w:footnoteReference w:id="6"/>
      </w:r>
    </w:p>
    <w:p>
      <w:pPr>
        <w:pStyle w:val="Heading1"/>
        <w:spacing w:after="200" w:before="320"/>
      </w:pPr>
      <w:r>
        <w:rPr>
          <w:rFonts w:ascii="Garamond" w:cs="Garamond" w:eastAsia="Garamond" w:hAnsi="Garamond"/>
          <w:b/>
          <w:bCs/>
          <w:sz w:val="26"/>
          <w:szCs w:val="26"/>
        </w:rPr>
        <w:t xml:space="preserve">IV. Application au projet de loi soumis</w:t>
      </w:r>
    </w:p>
    <w:p>
      <w:pPr>
        <w:spacing w:after="220" w:line="360"/>
        <w:jc w:val="both"/>
      </w:pPr>
      <w:r>
        <w:rPr>
          <w:rFonts w:ascii="Garamond" w:cs="Garamond" w:eastAsia="Garamond" w:hAnsi="Garamond"/>
          <w:sz w:val="24"/>
          <w:szCs w:val="24"/>
        </w:rPr>
        <w:t xml:space="preserve">Le projet de loi soumis par le client instaure un régime de conservation systématique et généralisée, sans limitation géographique ni personnelle, applicable en permanence et non à titre exceptionnel face à une menace identifiée. Au regard de la jurisprudence constante rappelée ci-dessus — de Digital Rights Ireland à SpaceNet en passant par Tele2 Sverige, La Quadrature du Net et Commissioner of An Garda Síochána — un tel régime nous paraît présenter un risque élevé d'incompatibilité avec l'article 15, paragraphe 1, de la directive 2002/58/CE, lu à la lumière des articles 7, 8 et 11 de la Charte.</w:t>
      </w:r>
    </w:p>
    <w:p>
      <w:pPr>
        <w:spacing w:after="220" w:line="360"/>
        <w:jc w:val="both"/>
      </w:pPr>
      <w:r>
        <w:rPr>
          <w:rFonts w:ascii="Garamond" w:cs="Garamond" w:eastAsia="Garamond" w:hAnsi="Garamond"/>
          <w:sz w:val="24"/>
          <w:szCs w:val="24"/>
        </w:rPr>
        <w:t xml:space="preserve">Nous recommandons en particulier de reconsidérer le champ d'application du projet afin d'y intégrer un ciblage par catégorie de personnes ou par zone géographique, une durée de conservation proportionnée à l'objectif poursuivi, ainsi qu'un mécanisme de contrôle préalable par une juridiction ou une autorité administrative indépendante dotée d'un pouvoir contraignant, conformément aux exigences posées par la Cour.</w:t>
      </w:r>
    </w:p>
    <w:p>
      <w:pPr>
        <w:pStyle w:val="Heading1"/>
        <w:spacing w:after="200" w:before="320"/>
      </w:pPr>
      <w:r>
        <w:rPr>
          <w:rFonts w:ascii="Garamond" w:cs="Garamond" w:eastAsia="Garamond" w:hAnsi="Garamond"/>
          <w:b/>
          <w:bCs/>
          <w:sz w:val="26"/>
          <w:szCs w:val="26"/>
        </w:rPr>
        <w:t xml:space="preserve">V. Conclusion</w:t>
      </w:r>
    </w:p>
    <w:p>
      <w:pPr>
        <w:spacing w:after="220" w:line="360"/>
        <w:jc w:val="both"/>
      </w:pPr>
      <w:r>
        <w:rPr>
          <w:rFonts w:ascii="Garamond" w:cs="Garamond" w:eastAsia="Garamond" w:hAnsi="Garamond"/>
          <w:sz w:val="24"/>
          <w:szCs w:val="24"/>
        </w:rPr>
        <w:t xml:space="preserve">Sous réserve d'un examen plus approfondi des dispositions définitives du texte, notre analyse préliminaire est que le projet de loi, dans sa rédaction actuelle, ne satisferait vraisemblablement pas au test de proportionnalité développé par la Cour de justice depuis l'arrêt Digital Rights Ireland. Nous restons à votre disposition pour discuter des aménagements envisageables.</w:t>
      </w:r>
    </w:p>
    <w:p>
      <w:pPr>
        <w:spacing w:before="500"/>
      </w:pPr>
      <w:r>
        <w:rPr>
          <w:rFonts w:ascii="Garamond" w:cs="Garamond" w:eastAsia="Garamond" w:hAnsi="Garamond"/>
          <w:b/>
          <w:bCs/>
          <w:sz w:val="24"/>
          <w:szCs w:val="24"/>
        </w:rPr>
        <w:t xml:space="preserve">Me A. Spécimen</w:t>
      </w:r>
    </w:p>
    <w:p>
      <w:r>
        <w:rPr>
          <w:rFonts w:ascii="Garamond" w:cs="Garamond" w:eastAsia="Garamond" w:hAnsi="Garamond"/>
          <w:sz w:val="22"/>
          <w:szCs w:val="22"/>
        </w:rPr>
        <w:t xml:space="preserve">Avocat associé, Cabinet Spécimen &amp; Associés (fictif)</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76"/>
      </w:pPr>
      <w:r>
        <w:rPr>
          <w:rStyle w:val="FootnoteReference"/>
        </w:rPr>
        <w:footnoteRef/>
      </w:r>
      <w:r>
        <w:rPr>
          <w:rFonts w:ascii="Garamond" w:cs="Garamond" w:eastAsia="Garamond" w:hAnsi="Garamond"/>
          <w:sz w:val="20"/>
          <w:szCs w:val="20"/>
        </w:rPr>
        <w:t xml:space="preserve">Directive 2002/58/CE, JO L 201 du 31.7.2002, p. 37, telle que modifiée par la directive 2009/136/CE, JO L 337 du 18.12.2009, p. 11.</w:t>
      </w:r>
    </w:p>
  </w:footnote>
  <w:footnote w:id="2">
    <w:p>
      <w:pPr>
        <w:spacing w:line="276"/>
      </w:pPr>
      <w:r>
        <w:rPr>
          <w:rStyle w:val="FootnoteReference"/>
        </w:rPr>
        <w:footnoteRef/>
      </w:r>
      <w:r>
        <w:rPr>
          <w:rFonts w:ascii="Garamond" w:cs="Garamond" w:eastAsia="Garamond" w:hAnsi="Garamond"/>
          <w:sz w:val="20"/>
          <w:szCs w:val="20"/>
        </w:rPr>
        <w:t xml:space="preserve">CJUE, 8 avril 2014, Digital Rights Ireland Ltd e.a., affaires jointes C-293/12 et C-594/12, ECLI:EU:C:2014:238, points 57–65.</w:t>
      </w:r>
    </w:p>
  </w:footnote>
  <w:footnote w:id="3">
    <w:p>
      <w:pPr>
        <w:spacing w:line="276"/>
      </w:pPr>
      <w:r>
        <w:rPr>
          <w:rStyle w:val="FootnoteReference"/>
        </w:rPr>
        <w:footnoteRef/>
      </w:r>
      <w:r>
        <w:rPr>
          <w:rFonts w:ascii="Garamond" w:cs="Garamond" w:eastAsia="Garamond" w:hAnsi="Garamond"/>
          <w:sz w:val="20"/>
          <w:szCs w:val="20"/>
        </w:rPr>
        <w:t xml:space="preserve">CJUE (grande chambre), 21 décembre 2016, Tele2 Sverige AB et Watson e.a., affaires jointes C-203/15 et C-698/15, ECLI:EU:C:2016:970, point 112 et dispositif.</w:t>
      </w:r>
    </w:p>
  </w:footnote>
  <w:footnote w:id="4">
    <w:p>
      <w:pPr>
        <w:spacing w:line="276"/>
      </w:pPr>
      <w:r>
        <w:rPr>
          <w:rStyle w:val="FootnoteReference"/>
        </w:rPr>
        <w:footnoteRef/>
      </w:r>
      <w:r>
        <w:rPr>
          <w:rFonts w:ascii="Garamond" w:cs="Garamond" w:eastAsia="Garamond" w:hAnsi="Garamond"/>
          <w:sz w:val="20"/>
          <w:szCs w:val="20"/>
        </w:rPr>
        <w:t xml:space="preserve">CJUE (grande chambre), 6 octobre 2020, La Quadrature du Net e.a., affaires jointes C-511/18, C-512/18 et C-520/18, ECLI:EU:C:2020:791, points 134–139 et 168–169.</w:t>
      </w:r>
    </w:p>
  </w:footnote>
  <w:footnote w:id="5">
    <w:p>
      <w:pPr>
        <w:spacing w:line="276"/>
      </w:pPr>
      <w:r>
        <w:rPr>
          <w:rStyle w:val="FootnoteReference"/>
        </w:rPr>
        <w:footnoteRef/>
      </w:r>
      <w:r>
        <w:rPr>
          <w:rFonts w:ascii="Garamond" w:cs="Garamond" w:eastAsia="Garamond" w:hAnsi="Garamond"/>
          <w:sz w:val="20"/>
          <w:szCs w:val="20"/>
        </w:rPr>
        <w:t xml:space="preserve">CJUE (grande chambre), 5 avril 2022, Commissioner of An Garda Síochána e.a., affaire C-140/20, ECLI:EU:C:2022:258, points 65–68.</w:t>
      </w:r>
    </w:p>
  </w:footnote>
  <w:footnote w:id="6">
    <w:p>
      <w:pPr>
        <w:spacing w:line="276"/>
      </w:pPr>
      <w:r>
        <w:rPr>
          <w:rStyle w:val="FootnoteReference"/>
        </w:rPr>
        <w:footnoteRef/>
      </w:r>
      <w:r>
        <w:rPr>
          <w:rFonts w:ascii="Garamond" w:cs="Garamond" w:eastAsia="Garamond" w:hAnsi="Garamond"/>
          <w:sz w:val="20"/>
          <w:szCs w:val="20"/>
        </w:rPr>
        <w:t xml:space="preserve">CJUE (grande chambre), 20 septembre 2022, SpaceNet AG et Telekom Deutschland GmbH, affaires jointes C-793/19 et C-794/19, ECLI:EU:C:2022:702, points 71–82.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08080"/>
        <w:sz w:val="18"/>
        <w:szCs w:val="18"/>
      </w:rPr>
      <w:t xml:space="preserve">Document d’exemple – contenu fictif, aucun contenu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2026-08-11T19:03:44.657Z</dcterms:created>
  <dcterms:modified xsi:type="dcterms:W3CDTF">2026-08-11T19:03:44.658Z</dcterms:modified>
</cp:coreProperties>
</file>

<file path=docProps/custom.xml><?xml version="1.0" encoding="utf-8"?>
<Properties xmlns="http://schemas.openxmlformats.org/officeDocument/2006/custom-properties" xmlns:vt="http://schemas.openxmlformats.org/officeDocument/2006/docPropsVTypes"/>
</file>