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04 E7 规划环境先验强度消融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结果路径 </w:t>
      </w:r>
      <w:r>
        <w:rPr>
          <w:rFonts w:ascii="Consolas" w:hAnsi="Consolas" w:eastAsia="Consolas"/>
          <w:sz w:val="18"/>
        </w:rPr>
        <w:t>results/exp7/</w:t>
      </w:r>
      <w:r>
        <w:rPr>
          <w:rFonts w:ascii="SimSun" w:hAnsi="SimSun" w:eastAsia="SimSun"/>
        </w:rPr>
        <w:t xml:space="preserve">，汇总 </w:t>
      </w:r>
      <w:r>
        <w:rPr>
          <w:rFonts w:ascii="Consolas" w:hAnsi="Consolas" w:eastAsia="Consolas"/>
          <w:sz w:val="18"/>
        </w:rPr>
        <w:t>results/exp7/summary.md</w:t>
      </w:r>
      <w:r>
        <w:rPr>
          <w:rFonts w:ascii="SimSun" w:hAnsi="SimSun" w:eastAsia="SimSun"/>
        </w:rPr>
        <w:t xml:space="preserve">，曲线 </w:t>
      </w:r>
      <w:r>
        <w:rPr>
          <w:rFonts w:ascii="Consolas" w:hAnsi="Consolas" w:eastAsia="Consolas"/>
          <w:sz w:val="18"/>
        </w:rPr>
        <w:t>results/exp7/figs/</w:t>
      </w:r>
      <w:r>
        <w:rPr>
          <w:rFonts w:ascii="SimSun" w:hAnsi="SimSun" w:eastAsia="SimSun"/>
        </w:rPr>
        <w:t xml:space="preserve">。commit </w:t>
      </w:r>
      <w:r>
        <w:rPr>
          <w:rFonts w:ascii="SimSun" w:hAnsi="SimSun" w:eastAsia="SimSun"/>
          <w:b/>
        </w:rPr>
        <w:t>`5116dae`</w:t>
      </w:r>
      <w:r>
        <w:rPr>
          <w:rFonts w:ascii="SimSun" w:hAnsi="SimSun" w:eastAsia="SimSun"/>
        </w:rPr>
        <w:t xml:space="preserve">，config_hash </w:t>
      </w:r>
      <w:r>
        <w:rPr>
          <w:rFonts w:ascii="Consolas" w:hAnsi="Consolas" w:eastAsia="Consolas"/>
          <w:sz w:val="18"/>
        </w:rPr>
        <w:t>ce0d83b973</w:t>
      </w:r>
      <w:r>
        <w:rPr>
          <w:rFonts w:ascii="SimSun" w:hAnsi="SimSun" w:eastAsia="SimSun"/>
        </w:rPr>
        <w:t xml:space="preserve">。3 类场景（S/low、S/mid、M/mid）× 8 种子 × 5 先验档 × 2 方法 = </w:t>
      </w:r>
      <w:r>
        <w:rPr>
          <w:rFonts w:ascii="SimSun" w:hAnsi="SimSun" w:eastAsia="SimSun"/>
          <w:b/>
        </w:rPr>
        <w:t>240 次运行，全部`status=ok`，`git_commit` 单一值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竣工态临时占位物 </w:t>
      </w:r>
      <w:r>
        <w:rPr>
          <w:rFonts w:ascii="Consolas" w:hAnsi="Consolas" w:eastAsia="Consolas"/>
          <w:sz w:val="18"/>
        </w:rPr>
        <w:t>n_temp=6</w:t>
      </w:r>
      <w:r>
        <w:rPr>
          <w:rFonts w:ascii="SimSun" w:hAnsi="SimSun" w:eastAsia="SimSun"/>
        </w:rPr>
        <w:t>（E2/E5 取 0，即设计模型与现场完全一致 —— 那正是本实验要检验的过强条件的一部分）。真值与初始站每个（场景，种子）只算一次后传给全部档位。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一、五个先验档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遮挡侧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占据侧（移动）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隔离的是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LEGACY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完整模型栅格化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原方案，参照行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P100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「可通行空间不再白给」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P75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75%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遮挡先验强度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50%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仅目标表面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同上，最弱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二、主表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B10_full（</w:t>
      </w:r>
      <w:r>
        <w:rPr>
          <w:rFonts w:ascii="SimHei" w:hAnsi="SimHei" w:eastAsia="SimHei"/>
          <w:b/>
          <w:color w:val="000000"/>
          <w:sz w:val="24"/>
        </w:rPr>
        <w:t>不开</w:t>
      </w:r>
      <w:r>
        <w:rPr>
          <w:rFonts w:ascii="SimHei" w:hAnsi="SimHei" w:eastAsia="SimHei"/>
          <w:color w:val="000000"/>
          <w:sz w:val="24"/>
        </w:rPr>
        <w:t>在线环境更新）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面积加权恢复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0.965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0.964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0.898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资产级恢复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0.889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0.861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0.830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关键设备召回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0.885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0.869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0.834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密度达标率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0.614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0.589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0.587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0.565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可见性单向高估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0.081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无效视点占比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0.037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0.055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路径 m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153.6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149.9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140.6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138.1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129.8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站数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已确认比例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B11_disc（</w:t>
      </w:r>
      <w:r>
        <w:rPr>
          <w:rFonts w:ascii="SimHei" w:hAnsi="SimHei" w:eastAsia="SimHei"/>
          <w:b/>
          <w:color w:val="000000"/>
          <w:sz w:val="24"/>
        </w:rPr>
        <w:t>开</w:t>
      </w:r>
      <w:r>
        <w:rPr>
          <w:rFonts w:ascii="SimHei" w:hAnsi="SimHei" w:eastAsia="SimHei"/>
          <w:color w:val="000000"/>
          <w:sz w:val="24"/>
        </w:rPr>
        <w:t>在线环境更新）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面积加权恢复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0.970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资产级恢复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0.922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关键设备召回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0.953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密度达标率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0.612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0.611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0.599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可见性单向高估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0.002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无效视点占比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0.001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路径 m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157.2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158.1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161.3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站数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终止原因：240 次运行全部为 `rounds`（正常用满轮次），`no_candidate` 为 0。</w:t>
      </w:r>
      <w:r>
        <w:rPr>
          <w:rFonts w:ascii="SimSun" w:hAnsi="SimSun" w:eastAsia="SimSun"/>
        </w:rPr>
        <w:t xml:space="preserve">弱先验没有造成候选池枯竭 —— 先前观察到的枯竭是「平台被卡在自己正站着的位置上」这个缺陷造成的，见 </w:t>
      </w:r>
      <w:r>
        <w:rPr>
          <w:rFonts w:ascii="Consolas" w:hAnsi="Consolas" w:eastAsia="Consolas"/>
          <w:sz w:val="18"/>
        </w:rPr>
        <w:t>03_代码修改与测试记录.md</w:t>
      </w:r>
      <w:r>
        <w:rPr>
          <w:rFonts w:ascii="SimSun" w:hAnsi="SimSun" w:eastAsia="SimSun"/>
        </w:rPr>
        <w:t xml:space="preserve"> 第 4.4 节。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三、三个结论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3.1 先验减弱</w:t>
      </w:r>
      <w:r>
        <w:rPr>
          <w:rFonts w:ascii="SimHei" w:hAnsi="SimHei" w:eastAsia="SimHei"/>
          <w:b/>
          <w:color w:val="000000"/>
          <w:sz w:val="24"/>
        </w:rPr>
        <w:t>确实</w:t>
      </w:r>
      <w:r>
        <w:rPr>
          <w:rFonts w:ascii="SimHei" w:hAnsi="SimHei" w:eastAsia="SimHei"/>
          <w:color w:val="000000"/>
          <w:sz w:val="24"/>
        </w:rPr>
        <w:t>有代价，且只发生在不开在线更新时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B10_full</w:t>
      </w:r>
      <w:r>
        <w:rPr>
          <w:rFonts w:ascii="SimSun" w:hAnsi="SimSun" w:eastAsia="SimSun"/>
        </w:rPr>
        <w:t xml:space="preserve"> 相对 LEGACY（配对置换检验 ＋ Holm，24 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面积加权恢复 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资产恢复 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单向高估 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−0.026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0.5678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−0.037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−0.035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0.2530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−0.065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0.0702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0.5369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−0.067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0.0016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−0.096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0.0075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+0.018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0.0140</w:t>
            </w:r>
          </w:p>
        </w:tc>
      </w:tr>
    </w:tbl>
    <w:p/>
    <w:p>
      <w:pPr>
        <w:pStyle w:val="ListBullet"/>
        <w:ind w:left="360"/>
      </w:pPr>
      <w:r>
        <w:rPr>
          <w:rFonts w:ascii="SimSun" w:hAnsi="SimSun" w:eastAsia="SimSun"/>
          <w:b/>
        </w:rPr>
        <w:t>`LEGACY → P100` 几乎无代价</w:t>
      </w:r>
      <w:r>
        <w:rPr>
          <w:rFonts w:ascii="SimSun" w:hAnsi="SimSun" w:eastAsia="SimSun"/>
        </w:rPr>
        <w:t>（全部 p=1.0000）。把可通行空间由「完整模型栅格化」改为「观测驱动」，本身不损失性能。这一条单独成立很重要：它说明</w:t>
      </w:r>
      <w:r>
        <w:rPr>
          <w:rFonts w:ascii="SimSun" w:hAnsi="SimSun" w:eastAsia="SimSun"/>
          <w:b/>
        </w:rPr>
        <w:t>「哪里能走」这一侧的完整模型先验，是可以整个拿掉的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遮挡侧的先验减弱才有代价</w:t>
      </w:r>
      <w:r>
        <w:rPr>
          <w:rFonts w:ascii="SimSun" w:hAnsi="SimSun" w:eastAsia="SimSun"/>
        </w:rPr>
        <w:t>，且随强度单调加深，到 P0 显著。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3.2 开了在线环境更新之后，代价基本消失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B11_disc</w:t>
      </w:r>
      <w:r>
        <w:rPr>
          <w:rFonts w:ascii="SimSun" w:hAnsi="SimSun" w:eastAsia="SimSun"/>
        </w:rPr>
        <w:t xml:space="preserve"> 相对 LEGACY：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面积加权恢复 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资产恢复 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−0.015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−0.015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0.7741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−0.027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0.0660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−0.027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0.0464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 xml:space="preserve">面积加权恢复自 LEGACY 到 P0 </w:t>
      </w:r>
      <w:r>
        <w:rPr>
          <w:rFonts w:ascii="SimSun" w:hAnsi="SimSun" w:eastAsia="SimSun"/>
          <w:b/>
        </w:rPr>
        <w:t>一路不显著</w:t>
      </w:r>
      <w:r>
        <w:rPr>
          <w:rFonts w:ascii="SimSun" w:hAnsi="SimSun" w:eastAsia="SimSun"/>
        </w:rPr>
        <w:t>（p 全为 1.0000，Δ 绝对值 ≤ 0.004）。资产级恢复在 P0 有 −0.027 的小幅下降（p_holm = 0.046），须如实报告。</w:t>
      </w:r>
    </w:p>
    <w:p>
      <w:pPr>
        <w:spacing w:after="80"/>
        <w:jc w:val="both"/>
      </w:pPr>
      <w:r>
        <w:rPr>
          <w:rFonts w:ascii="SimSun" w:hAnsi="SimSun" w:eastAsia="SimSun"/>
        </w:rPr>
        <w:t>对照两行：</w:t>
      </w:r>
      <w:r>
        <w:rPr>
          <w:rFonts w:ascii="SimSun" w:hAnsi="SimSun" w:eastAsia="SimSun"/>
          <w:b/>
        </w:rPr>
        <w:t>不开在线更新时 P0 的代价是 −0.096（资产），开了之后是 −0.027</w:t>
      </w:r>
      <w:r>
        <w:rPr>
          <w:rFonts w:ascii="SimSun" w:hAnsi="SimSun" w:eastAsia="SimSun"/>
        </w:rPr>
        <w:t>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3.3 在线环境更新的价值</w:t>
      </w:r>
      <w:r>
        <w:rPr>
          <w:rFonts w:ascii="SimHei" w:hAnsi="SimHei" w:eastAsia="SimHei"/>
          <w:b/>
          <w:color w:val="000000"/>
          <w:sz w:val="24"/>
        </w:rPr>
        <w:t>随先验减弱而增大</w:t>
      </w:r>
      <w:r>
        <w:rPr>
          <w:rFonts w:ascii="SimHei" w:hAnsi="SimHei" w:eastAsia="SimHei"/>
          <w:color w:val="000000"/>
          <w:sz w:val="24"/>
        </w:rPr>
        <w:t>——这是本实验的重点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B11_disc − B10_full</w:t>
      </w:r>
      <w:r>
        <w:rPr>
          <w:rFonts w:ascii="SimSun" w:hAnsi="SimSun" w:eastAsia="SimSun"/>
        </w:rPr>
        <w:t>，逐档（24 组配对，Holm 校正）：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资产恢复 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面积加权 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单向高估 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0.0117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0.4704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−0.062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0.4704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0.4704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−0.060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+0.045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0.1412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+0.037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−0.068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+0.061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0.0915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+0.044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0.0552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−0.072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+0.092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0.0117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+0.073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0.0030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−0.079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0.0020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 xml:space="preserve">资产恢复的增益自 +0.012（P100）单调升至 </w:t>
      </w:r>
      <w:r>
        <w:rPr>
          <w:rFonts w:ascii="SimSun" w:hAnsi="SimSun" w:eastAsia="SimSun"/>
          <w:b/>
        </w:rPr>
        <w:t>+0.092（P0），约 7.6 倍</w:t>
      </w:r>
      <w:r>
        <w:rPr>
          <w:rFonts w:ascii="SimSun" w:hAnsi="SimSun" w:eastAsia="SimSun"/>
        </w:rPr>
        <w:t>；面积加权自+0.010 升至 +0.073。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这解释了 E3b 先前「恢复率增益不显著（p = 0.50）」这一结果</w:t>
      </w:r>
      <w:r>
        <w:rPr>
          <w:rFonts w:ascii="SimSun" w:hAnsi="SimSun" w:eastAsia="SimSun"/>
        </w:rPr>
        <w:t>：E3b 在完整环境先验下测量，那时现场几乎一切都已建模，在线更新只能捡到临时占位物，用武之地本就很小。不是机制无效，是那个测试条件把它的作用对象拿掉了。</w:t>
      </w:r>
    </w:p>
    <w:p>
      <w:pPr>
        <w:spacing w:after="80"/>
        <w:jc w:val="both"/>
      </w:pPr>
      <w:r>
        <w:rPr>
          <w:rFonts w:ascii="SimSun" w:hAnsi="SimSun" w:eastAsia="SimSun"/>
        </w:rPr>
        <w:t>（须注意 E3b 与 E7 的条件并不完全相同：E3b 为 15 组配对、旧目标集口径；E7 为 24 组、新目标集口径。</w:t>
      </w:r>
      <w:r>
        <w:rPr>
          <w:rFonts w:ascii="SimSun" w:hAnsi="SimSun" w:eastAsia="SimSun"/>
          <w:b/>
        </w:rPr>
        <w:t>不得直接改写 E3b 的结论</w:t>
      </w:r>
      <w:r>
        <w:rPr>
          <w:rFonts w:ascii="SimSun" w:hAnsi="SimSun" w:eastAsia="SimSun"/>
        </w:rPr>
        <w:t>，只能说明二者测量的先验条件不同。）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四、曲线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results/exp7/figs/e7_recovery.png</w:t>
      </w:r>
      <w:r>
        <w:rPr>
          <w:rFonts w:ascii="SimSun" w:hAnsi="SimSun" w:eastAsia="SimSun"/>
        </w:rPr>
        <w:t xml:space="preserve"> — 恢复率 vs 先验强度（B10 单调下滑，B11 basically 平）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results/exp7/figs/e7_vis_error.png</w:t>
      </w:r>
      <w:r>
        <w:rPr>
          <w:rFonts w:ascii="SimSun" w:hAnsi="SimSun" w:eastAsia="SimSun"/>
        </w:rPr>
        <w:t xml:space="preserve"> — 单向高估与无效视点；两条线间的虚线即在线更新清除掉的误差量，逐档拉开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results/exp7/figs/e7_known_ratio.png</w:t>
      </w:r>
      <w:r>
        <w:rPr>
          <w:rFonts w:ascii="SimSun" w:hAnsi="SimSun" w:eastAsia="SimSun"/>
        </w:rPr>
        <w:t xml:space="preserve"> — M_plan 已确认比例逐轮增长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results/exp7/figs/e8_two_axes.png</w:t>
      </w:r>
      <w:r>
        <w:rPr>
          <w:rFonts w:ascii="SimSun" w:hAnsi="SimSun" w:eastAsia="SimSun"/>
        </w:rPr>
        <w:t xml:space="preserve"> — 两个目标函数（见 05）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五、可以支持的表述与明确禁止的表述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可以支持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明确禁止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将移动可通行空间由完整模型改为观测驱动，未造成可测得的性能损失（LEGACY→P100 全部 p=1.0000）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❌ 不得据此说「完整模型完全不需要」——目标参考模型仍是必需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参考模型不描述任何非目标环境几何时，不开在线更新的资产恢复下降 0.096（p_holm=0.0075）；开了之后下降 0.027（p_holm=0.046）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❌ 不得只报后者而不报前者，也不得把 0.027 说成「无损失」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在线环境更新的资产恢复增益随先验减弱由 +0.012 增至 +0.092（P0 p_holm=0.0117）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❌ 不得表述为「在线发现总是显著提升恢复率」——P100/P75/P50 三档的资产增益 p_holm 分别为 0.47 / 0.14 / 0.09，未达显著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在线环境更新在</w:t>
            </w:r>
            <w:r>
              <w:rPr>
                <w:rFonts w:ascii="SimSun" w:hAnsi="SimSun" w:eastAsia="SimSun"/>
                <w:b/>
                <w:sz w:val="17"/>
              </w:rPr>
              <w:t>所有</w:t>
            </w:r>
            <w:r>
              <w:rPr>
                <w:rFonts w:ascii="SimSun" w:hAnsi="SimSun" w:eastAsia="SimSun"/>
                <w:sz w:val="17"/>
              </w:rPr>
              <w:t>先验档都把可见性单向高估降到 0.002（全部 p_holm=0.0020）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❌ 不得把可见性误差的改善直接说成恢复率的改善 —— 二者是分开检验的两件事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弱先验未造成候选池枯竭（240 次全部正常用满轮次）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❌ 不得引用 </w:t>
            </w:r>
            <w:r>
              <w:rPr>
                <w:rFonts w:ascii="Consolas" w:hAnsi="Consolas" w:eastAsia="Consolas"/>
                <w:sz w:val="17"/>
              </w:rPr>
              <w:t>results/archive/exp7_prefix_stood/</w:t>
            </w:r>
            <w:r>
              <w:rPr>
                <w:rFonts w:ascii="SimSun" w:hAnsi="SimSun" w:eastAsia="SimSun"/>
                <w:sz w:val="17"/>
              </w:rPr>
              <w:t xml:space="preserve"> 中的枯竭数据，那是缺陷记录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六、本实验未能回答的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真实建筑上无法复现遮挡先验轴</w:t>
      </w:r>
      <w:r>
        <w:rPr>
          <w:rFonts w:ascii="SimSun" w:hAnsi="SimSun" w:eastAsia="SimSun"/>
        </w:rPr>
        <w:t>：CRAS 的 IFC 中 256 个构件全部为目标类，不存在非目标环境构件，</w:t>
      </w:r>
      <w:r>
        <w:rPr>
          <w:rFonts w:ascii="Consolas" w:hAnsi="Consolas" w:eastAsia="Consolas"/>
          <w:sz w:val="18"/>
        </w:rPr>
        <w:t>prior_tri_mask(0.0)</w:t>
      </w:r>
      <w:r>
        <w:rPr>
          <w:rFonts w:ascii="SimSun" w:hAnsi="SimSun" w:eastAsia="SimSun"/>
        </w:rPr>
        <w:t xml:space="preserve"> 无物可删。真实数据只能支持通行侧的结论。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合成变电站中可移除的环境几何本就不多</w:t>
      </w:r>
      <w:r>
        <w:rPr>
          <w:rFonts w:ascii="SimSun" w:hAnsi="SimSun" w:eastAsia="SimSun"/>
        </w:rPr>
        <w:t>：按对象计，厂房/围墙/杂物只占三角面的3.6–5.3% —— 变电站里遮挡设备的主要是</w:t>
      </w:r>
      <w:r>
        <w:rPr>
          <w:rFonts w:ascii="SimSun" w:hAnsi="SimSun" w:eastAsia="SimSun"/>
          <w:b/>
        </w:rPr>
        <w:t>其他设备</w:t>
      </w:r>
      <w:r>
        <w:rPr>
          <w:rFonts w:ascii="SimSun" w:hAnsi="SimSun" w:eastAsia="SimSun"/>
        </w:rPr>
        <w:t>，而设备本身就是目标。P0 与LEGACY 之间 0.096 的差距，是在这个比例下测得的；换一个非目标环境更多的场景（如市政、厂房内部），差距可能更大，本实验不能外推。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未检验 M_ref 目标几何本身不准的情形</w:t>
      </w:r>
      <w:r>
        <w:rPr>
          <w:rFonts w:ascii="SimSun" w:hAnsi="SimSun" w:eastAsia="SimSun"/>
        </w:rPr>
        <w:t>（竣工偏差）。本轮只调节环境先验，目标表面几何始终准确。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