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07 专利技术方案修改影响分析（Phase 7）</w:t>
      </w:r>
    </w:p>
    <w:p>
      <w:pPr>
        <w:spacing w:after="80"/>
        <w:jc w:val="both"/>
      </w:pPr>
      <w:r>
        <w:rPr>
          <w:rFonts w:ascii="SimSun" w:hAnsi="SimSun" w:eastAsia="SimSun"/>
          <w:b/>
        </w:rPr>
        <w:t>本文件给出修改建议，不是最终申请稿。</w:t>
      </w:r>
      <w:r>
        <w:rPr>
          <w:rFonts w:ascii="SimSun" w:hAnsi="SimSun" w:eastAsia="SimSun"/>
        </w:rPr>
        <w:t xml:space="preserve"> 有益效果一节的具体数字待 E7/E8 定稿后填入（见第七节）。</w:t>
      </w:r>
    </w:p>
    <w:p>
      <w:pPr>
        <w:spacing w:after="80"/>
        <w:jc w:val="both"/>
      </w:pPr>
      <w:r>
        <w:rPr>
          <w:rFonts w:ascii="SimSun" w:hAnsi="SimSun" w:eastAsia="SimSun"/>
        </w:rPr>
        <w:t>对照本：</w:t>
      </w:r>
      <w:r>
        <w:rPr>
          <w:rFonts w:ascii="Consolas" w:hAnsi="Consolas" w:eastAsia="Consolas"/>
          <w:sz w:val="18"/>
        </w:rPr>
        <w:t>送审_补充扫描规划专利/01_申请文件/</w:t>
      </w:r>
      <w:r>
        <w:rPr>
          <w:rFonts w:ascii="SimSun" w:hAnsi="SimSun" w:eastAsia="SimSun"/>
        </w:rPr>
        <w:t>（权利要求书、说明书）。</w:t>
      </w:r>
    </w:p>
    <w:p>
      <w:pPr>
        <w:pStyle w:val="Heading2"/>
        <w:spacing w:before="200" w:after="80"/>
      </w:pPr>
      <w:r>
        <w:rPr>
          <w:rFonts w:ascii="SimHei" w:hAnsi="SimHei" w:eastAsia="SimHei"/>
          <w:color w:val="000000"/>
          <w:sz w:val="27"/>
        </w:rPr>
        <w:t>一、发明名称</w:t>
      </w:r>
    </w:p>
    <w:p>
      <w:pPr>
        <w:spacing w:after="80"/>
        <w:jc w:val="both"/>
      </w:pPr>
      <w:r>
        <w:rPr>
          <w:rFonts w:ascii="SimSun" w:hAnsi="SimSun" w:eastAsia="SimSun"/>
        </w:rPr>
        <w:t>现名：</w:t>
      </w:r>
      <w:r>
        <w:rPr>
          <w:rFonts w:ascii="SimSun" w:hAnsi="SimSun" w:eastAsia="SimSun"/>
          <w:b/>
        </w:rPr>
        <w:t>一种基于设计模型与在线遮挡发现的补充扫描规划方法及系统</w:t>
      </w:r>
    </w:p>
    <w:p>
      <w:pPr>
        <w:spacing w:after="80"/>
        <w:jc w:val="both"/>
      </w:pPr>
      <w:r>
        <w:rPr>
          <w:rFonts w:ascii="SimSun" w:hAnsi="SimSun" w:eastAsia="SimSun"/>
        </w:rPr>
        <w:t>问题：「基于设计模型」在字面上把整个方案系上了「有一份描述现场的设计模型」这个前提，正是合作方质疑的落点。</w:t>
      </w:r>
    </w:p>
    <w:p>
      <w:pPr>
        <w:spacing w:after="80"/>
        <w:jc w:val="both"/>
      </w:pPr>
      <w:r>
        <w:rPr>
          <w:rFonts w:ascii="SimSun" w:hAnsi="SimSun" w:eastAsia="SimSun"/>
        </w:rPr>
        <w:t>建议改为：</w:t>
      </w:r>
    </w:p>
    <w:p>
      <w:pPr>
        <w:ind w:left="360"/>
      </w:pPr>
      <w:r>
        <w:rPr>
          <w:rFonts w:ascii="SimSun" w:hAnsi="SimSun" w:eastAsia="SimSun"/>
          <w:b/>
          <w:i/>
        </w:rPr>
        <w:t>一种基于目标参考模型与在线环境更新的补充扫描规划方法及系统</w:t>
      </w:r>
    </w:p>
    <w:p>
      <w:pPr>
        <w:spacing w:after="80"/>
        <w:jc w:val="both"/>
      </w:pPr>
      <w:r>
        <w:rPr>
          <w:rFonts w:ascii="SimSun" w:hAnsi="SimSun" w:eastAsia="SimSun"/>
        </w:rPr>
        <w:t>理由：把「设计模型」换成「目标参考模型」，明确它只承担「要检查什么」；把「在线遮挡发现」上位为「在线环境更新」，涵盖遮挡侧与占据侧两条回灌。</w:t>
      </w:r>
      <w:r>
        <w:rPr>
          <w:rFonts w:ascii="SimSun" w:hAnsi="SimSun" w:eastAsia="SimSun"/>
          <w:b/>
        </w:rPr>
        <w:t>[C]</w:t>
      </w:r>
    </w:p>
    <w:p>
      <w:pPr>
        <w:spacing w:after="80"/>
        <w:jc w:val="both"/>
      </w:pPr>
      <w:r>
        <w:rPr>
          <w:rFonts w:ascii="SimSun" w:hAnsi="SimSun" w:eastAsia="SimSun"/>
        </w:rPr>
        <w:t>不建议改成「未知环境」「自主探索」一类措辞 —— 本方法</w:t>
      </w:r>
      <w:r>
        <w:rPr>
          <w:rFonts w:ascii="SimSun" w:hAnsi="SimSun" w:eastAsia="SimSun"/>
          <w:b/>
        </w:rPr>
        <w:t>不是</w:t>
      </w:r>
      <w:r>
        <w:rPr>
          <w:rFonts w:ascii="SimSun" w:hAnsi="SimSun" w:eastAsia="SimSun"/>
        </w:rPr>
        <w:t>无模型建图，目标参考模型是必需的（见 §12 禁止项 1、2、3）。</w:t>
      </w:r>
    </w:p>
    <w:p>
      <w:pPr>
        <w:pStyle w:val="Heading2"/>
        <w:spacing w:before="200" w:after="80"/>
      </w:pPr>
      <w:r>
        <w:rPr>
          <w:rFonts w:ascii="SimHei" w:hAnsi="SimHei" w:eastAsia="SimHei"/>
          <w:color w:val="000000"/>
          <w:sz w:val="27"/>
        </w:rPr>
        <w:t>二、术语：一个词拆成两个</w:t>
      </w:r>
    </w:p>
    <w:p>
      <w:pPr>
        <w:spacing w:after="80"/>
        <w:jc w:val="both"/>
      </w:pPr>
      <w:r>
        <w:rPr>
          <w:rFonts w:ascii="SimSun" w:hAnsi="SimSun" w:eastAsia="SimSun"/>
        </w:rPr>
        <w:t>现稿全篇使用「设计建筑信息模型」一个词，同时承担两种互不相同的职责。建议在说明书「术语」处引入并全篇贯彻：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新术语</w:t>
            </w:r>
          </w:p>
        </w:tc>
        <w:tc>
          <w:tcPr>
            <w:tcW w:type="dxa" w:w="2880"/>
          </w:tcPr>
          <w:p>
            <w:pPr>
              <w:spacing w:before="20" w:after="20"/>
            </w:pPr>
            <w:r>
              <w:rPr>
                <w:rFonts w:ascii="SimSun" w:hAnsi="SimSun" w:eastAsia="SimSun"/>
                <w:b/>
                <w:sz w:val="17"/>
              </w:rPr>
              <w:t>定义</w:t>
            </w:r>
          </w:p>
        </w:tc>
        <w:tc>
          <w:tcPr>
            <w:tcW w:type="dxa" w:w="2880"/>
          </w:tcPr>
          <w:p>
            <w:pPr>
              <w:spacing w:before="20" w:after="20"/>
            </w:pPr>
            <w:r>
              <w:rPr>
                <w:rFonts w:ascii="SimSun" w:hAnsi="SimSun" w:eastAsia="SimSun"/>
                <w:b/>
                <w:sz w:val="17"/>
              </w:rPr>
              <w:t>现稿中对应处</w:t>
            </w:r>
          </w:p>
        </w:tc>
      </w:tr>
      <w:tr>
        <w:tc>
          <w:tcPr>
            <w:tcW w:type="dxa" w:w="2880"/>
          </w:tcPr>
          <w:p>
            <w:pPr>
              <w:spacing w:before="20" w:after="20"/>
            </w:pPr>
            <w:r>
              <w:rPr>
                <w:rFonts w:ascii="SimSun" w:hAnsi="SimSun" w:eastAsia="SimSun"/>
                <w:b/>
                <w:sz w:val="17"/>
              </w:rPr>
              <w:t>目标参考模型</w:t>
            </w:r>
          </w:p>
        </w:tc>
        <w:tc>
          <w:tcPr>
            <w:tcW w:type="dxa" w:w="2880"/>
          </w:tcPr>
          <w:p>
            <w:pPr>
              <w:spacing w:before="20" w:after="20"/>
            </w:pPr>
            <w:r>
              <w:rPr>
                <w:rFonts w:ascii="SimSun" w:hAnsi="SimSun" w:eastAsia="SimSun"/>
                <w:sz w:val="17"/>
              </w:rPr>
              <w:t>描述待检查目标构件、目标表面及其工程属性；不要求描述现场全部环境几何</w:t>
            </w:r>
          </w:p>
        </w:tc>
        <w:tc>
          <w:tcPr>
            <w:tcW w:type="dxa" w:w="2880"/>
          </w:tcPr>
          <w:p>
            <w:pPr>
              <w:spacing w:before="20" w:after="20"/>
            </w:pPr>
            <w:r>
              <w:rPr>
                <w:rFonts w:ascii="SimSun" w:hAnsi="SimSun" w:eastAsia="SimSun"/>
                <w:sz w:val="17"/>
              </w:rPr>
              <w:t>S1、S4 的「表面」、S7 的比对基准</w:t>
            </w:r>
          </w:p>
        </w:tc>
      </w:tr>
      <w:tr>
        <w:tc>
          <w:tcPr>
            <w:tcW w:type="dxa" w:w="2880"/>
          </w:tcPr>
          <w:p>
            <w:pPr>
              <w:spacing w:before="20" w:after="20"/>
            </w:pPr>
            <w:r>
              <w:rPr>
                <w:rFonts w:ascii="SimSun" w:hAnsi="SimSun" w:eastAsia="SimSun"/>
                <w:b/>
                <w:sz w:val="17"/>
              </w:rPr>
              <w:t>规划环境模型</w:t>
            </w:r>
          </w:p>
        </w:tc>
        <w:tc>
          <w:tcPr>
            <w:tcW w:type="dxa" w:w="2880"/>
          </w:tcPr>
          <w:p>
            <w:pPr>
              <w:spacing w:before="20" w:after="20"/>
            </w:pPr>
            <w:r>
              <w:rPr>
                <w:rFonts w:ascii="SimSun" w:hAnsi="SimSun" w:eastAsia="SimSun"/>
                <w:sz w:val="17"/>
              </w:rPr>
              <w:t>描述规划器当前认为现场哪里被占据、什么挡住视线；由实测观测建立并逐轮更新</w:t>
            </w:r>
          </w:p>
        </w:tc>
        <w:tc>
          <w:tcPr>
            <w:tcW w:type="dxa" w:w="2880"/>
          </w:tcPr>
          <w:p>
            <w:pPr>
              <w:spacing w:before="20" w:after="20"/>
            </w:pPr>
            <w:r>
              <w:rPr>
                <w:rFonts w:ascii="SimSun" w:hAnsi="SimSun" w:eastAsia="SimSun"/>
                <w:sz w:val="17"/>
              </w:rPr>
              <w:t>S2 的可通行空间 ＋ S4 的「规划用遮挡模型」</w:t>
            </w:r>
          </w:p>
        </w:tc>
      </w:tr>
    </w:tbl>
    <w:p/>
    <w:p>
      <w:pPr>
        <w:spacing w:after="80"/>
        <w:jc w:val="both"/>
      </w:pPr>
      <w:r>
        <w:rPr>
          <w:rFonts w:ascii="SimSun" w:hAnsi="SimSun" w:eastAsia="SimSun"/>
        </w:rPr>
        <w:t>一条必须写进说明书的一致性约束：</w:t>
      </w:r>
    </w:p>
    <w:p>
      <w:pPr>
        <w:ind w:left="360"/>
      </w:pPr>
      <w:r>
        <w:rPr>
          <w:rFonts w:ascii="SimSun" w:hAnsi="SimSun" w:eastAsia="SimSun"/>
          <w:i/>
        </w:rPr>
        <w:t>凡目标参考模型声明为目标的表面，规划环境模型的初始内容必须包含其几何。</w:t>
      </w:r>
    </w:p>
    <w:p>
      <w:pPr>
        <w:spacing w:after="80"/>
        <w:jc w:val="both"/>
      </w:pPr>
      <w:r>
        <w:rPr>
          <w:rFonts w:ascii="SimSun" w:hAnsi="SimSun" w:eastAsia="SimSun"/>
        </w:rPr>
        <w:t>否则会出现「要求扫一个拿不到几何的面、并在求交时以为能透视过去」的矛盾。</w:t>
      </w:r>
      <w:r>
        <w:rPr>
          <w:rFonts w:ascii="SimSun" w:hAnsi="SimSun" w:eastAsia="SimSun"/>
          <w:b/>
        </w:rPr>
        <w:t>[A]</w:t>
      </w:r>
    </w:p>
    <w:p>
      <w:pPr>
        <w:pStyle w:val="Heading2"/>
        <w:spacing w:before="200" w:after="80"/>
      </w:pPr>
      <w:r>
        <w:rPr>
          <w:rFonts w:ascii="SimHei" w:hAnsi="SimHei" w:eastAsia="SimHei"/>
          <w:color w:val="000000"/>
          <w:sz w:val="27"/>
        </w:rPr>
        <w:t>三、背景技术与技术问题</w:t>
      </w:r>
    </w:p>
    <w:p>
      <w:pPr>
        <w:pStyle w:val="Heading3"/>
        <w:spacing w:before="120" w:after="80"/>
      </w:pPr>
      <w:r>
        <w:rPr>
          <w:rFonts w:ascii="SimHei" w:hAnsi="SimHei" w:eastAsia="SimHei"/>
          <w:color w:val="000000"/>
          <w:sz w:val="24"/>
        </w:rPr>
        <w:t>3.1 背景技术：增补一段</w:t>
      </w:r>
    </w:p>
    <w:p>
      <w:pPr>
        <w:spacing w:after="80"/>
        <w:jc w:val="both"/>
      </w:pPr>
      <w:r>
        <w:rPr>
          <w:rFonts w:ascii="SimSun" w:hAnsi="SimSun" w:eastAsia="SimSun"/>
        </w:rPr>
        <w:t>现稿背景技术围绕「设计模型中不存在的物体导致可见性被单向高估」。建议增补：</w:t>
      </w:r>
    </w:p>
    <w:p>
      <w:pPr>
        <w:ind w:left="360"/>
      </w:pPr>
      <w:r>
        <w:rPr>
          <w:rFonts w:ascii="SimSun" w:hAnsi="SimSun" w:eastAsia="SimSun"/>
          <w:i/>
        </w:rPr>
        <w:t>竣工测量现场的设计模型通常只对</w:t>
      </w:r>
      <w:r>
        <w:rPr>
          <w:rFonts w:ascii="SimSun" w:hAnsi="SimSun" w:eastAsia="SimSun"/>
          <w:b/>
          <w:i/>
        </w:rPr>
        <w:t>待检查的目标构件</w:t>
      </w:r>
      <w:r>
        <w:rPr>
          <w:rFonts w:ascii="SimSun" w:hAnsi="SimSun" w:eastAsia="SimSun"/>
          <w:i/>
        </w:rPr>
        <w:t>作了完整描述，对现场的临时</w:t>
      </w:r>
    </w:p>
    <w:p>
      <w:pPr>
        <w:ind w:left="360"/>
      </w:pPr>
      <w:r>
        <w:rPr>
          <w:rFonts w:ascii="SimSun" w:hAnsi="SimSun" w:eastAsia="SimSun"/>
          <w:i/>
        </w:rPr>
        <w:t>设施、堆放物、施工机具乃至部分永久性非目标构筑物，往往描述不全、与实际不符或</w:t>
      </w:r>
    </w:p>
    <w:p>
      <w:pPr>
        <w:ind w:left="360"/>
      </w:pPr>
      <w:r>
        <w:rPr>
          <w:rFonts w:ascii="SimSun" w:hAnsi="SimSun" w:eastAsia="SimSun"/>
          <w:i/>
        </w:rPr>
        <w:t>根本不予记录。既有的站位规划方法普遍要求由该模型直接生成移动平台的可通行空间与</w:t>
      </w:r>
    </w:p>
    <w:p>
      <w:pPr>
        <w:ind w:left="360"/>
      </w:pPr>
      <w:r>
        <w:rPr>
          <w:rFonts w:ascii="SimSun" w:hAnsi="SimSun" w:eastAsia="SimSun"/>
          <w:i/>
        </w:rPr>
        <w:t>视线遮挡模型，因而隐含要求该模型完整描述现场环境几何；该前提在竣工测量现场通常</w:t>
      </w:r>
    </w:p>
    <w:p>
      <w:pPr>
        <w:ind w:left="360"/>
      </w:pPr>
      <w:r>
        <w:rPr>
          <w:rFonts w:ascii="SimSun" w:hAnsi="SimSun" w:eastAsia="SimSun"/>
          <w:i/>
        </w:rPr>
        <w:t>不成立。</w:t>
      </w:r>
    </w:p>
    <w:p>
      <w:pPr>
        <w:pStyle w:val="Heading3"/>
        <w:spacing w:before="120" w:after="80"/>
      </w:pPr>
      <w:r>
        <w:rPr>
          <w:rFonts w:ascii="SimHei" w:hAnsi="SimHei" w:eastAsia="SimHei"/>
          <w:color w:val="000000"/>
          <w:sz w:val="24"/>
        </w:rPr>
        <w:t>3.2 技术问题：由两个增为三个</w:t>
      </w:r>
    </w:p>
    <w:p>
      <w:pPr>
        <w:spacing w:after="80"/>
        <w:jc w:val="both"/>
      </w:pPr>
      <w:r>
        <w:rPr>
          <w:rFonts w:ascii="SimSun" w:hAnsi="SimSun" w:eastAsia="SimSun"/>
        </w:rPr>
        <w:t>现稿两个问题：(一) 可见性被系统性单向高估且逐轮重复；(二) 多站补充扫描在预算收紧时提前终止并输出零结果。</w:t>
      </w:r>
    </w:p>
    <w:p>
      <w:pPr>
        <w:spacing w:after="80"/>
        <w:jc w:val="both"/>
      </w:pPr>
      <w:r>
        <w:rPr>
          <w:rFonts w:ascii="SimSun" w:hAnsi="SimSun" w:eastAsia="SimSun"/>
        </w:rPr>
        <w:t>建议增列第三个，并置于首位：</w:t>
      </w:r>
    </w:p>
    <w:p>
      <w:pPr>
        <w:ind w:left="360"/>
      </w:pPr>
      <w:r>
        <w:rPr>
          <w:rFonts w:ascii="SimSun" w:hAnsi="SimSun" w:eastAsia="SimSun"/>
          <w:b/>
          <w:i/>
        </w:rPr>
        <w:t>问题一</w:t>
      </w:r>
      <w:r>
        <w:rPr>
          <w:rFonts w:ascii="SimSun" w:hAnsi="SimSun" w:eastAsia="SimSun"/>
          <w:i/>
        </w:rPr>
        <w:t>：既有方法要求由设计模型直接生成移动平台的可通行空间与视线遮挡模型，</w:t>
      </w:r>
    </w:p>
    <w:p>
      <w:pPr>
        <w:ind w:left="360"/>
      </w:pPr>
      <w:r>
        <w:rPr>
          <w:rFonts w:ascii="SimSun" w:hAnsi="SimSun" w:eastAsia="SimSun"/>
          <w:i/>
        </w:rPr>
        <w:t>从而要求该模型完整描述现场环境几何。现场不具备该条件时，规划所依据的可通行空间</w:t>
      </w:r>
    </w:p>
    <w:p>
      <w:pPr>
        <w:ind w:left="360"/>
      </w:pPr>
      <w:r>
        <w:rPr>
          <w:rFonts w:ascii="SimSun" w:hAnsi="SimSun" w:eastAsia="SimSun"/>
          <w:i/>
        </w:rPr>
        <w:t>与遮挡关系自始即为错误，且该错误在整个补充扫描过程中得不到纠正。</w:t>
      </w:r>
    </w:p>
    <w:p>
      <w:pPr>
        <w:spacing w:after="80"/>
        <w:jc w:val="both"/>
      </w:pPr>
      <w:r>
        <w:rPr>
          <w:rFonts w:ascii="SimSun" w:hAnsi="SimSun" w:eastAsia="SimSun"/>
        </w:rPr>
        <w:t>原两个问题顺延为问题二、问题三。</w:t>
      </w:r>
    </w:p>
    <w:p>
      <w:pPr>
        <w:pStyle w:val="Heading2"/>
        <w:spacing w:before="200" w:after="80"/>
      </w:pPr>
      <w:r>
        <w:rPr>
          <w:rFonts w:ascii="SimHei" w:hAnsi="SimHei" w:eastAsia="SimHei"/>
          <w:color w:val="000000"/>
          <w:sz w:val="27"/>
        </w:rPr>
        <w:t>四、技术方案：S1–S8 的逐条修改</w:t>
      </w:r>
    </w:p>
    <w:p>
      <w:pPr>
        <w:pStyle w:val="Heading3"/>
        <w:spacing w:before="120" w:after="80"/>
      </w:pPr>
      <w:r>
        <w:rPr>
          <w:rFonts w:ascii="SimHei" w:hAnsi="SimHei" w:eastAsia="SimHei"/>
          <w:color w:val="000000"/>
          <w:sz w:val="24"/>
        </w:rPr>
        <w:t>S1 — 仅术语</w:t>
      </w:r>
    </w:p>
    <w:p>
      <w:pPr>
        <w:spacing w:after="80"/>
        <w:jc w:val="both"/>
      </w:pPr>
      <w:r>
        <w:rPr>
          <w:rFonts w:ascii="SimSun" w:hAnsi="SimSun" w:eastAsia="SimSun"/>
        </w:rPr>
        <w:t>「设计建筑信息模型」→「目标参考模型」。算法不变。</w:t>
      </w:r>
      <w:r>
        <w:rPr>
          <w:rFonts w:ascii="SimSun" w:hAnsi="SimSun" w:eastAsia="SimSun"/>
          <w:b/>
        </w:rPr>
        <w:t>[A]</w:t>
      </w:r>
    </w:p>
    <w:p>
      <w:pPr>
        <w:pStyle w:val="Heading3"/>
        <w:spacing w:before="120" w:after="80"/>
      </w:pPr>
      <w:r>
        <w:rPr>
          <w:rFonts w:ascii="SimHei" w:hAnsi="SimHei" w:eastAsia="SimHei"/>
          <w:color w:val="000000"/>
          <w:sz w:val="24"/>
        </w:rPr>
        <w:t>S2 — 实质修改（本轮的核心）</w:t>
      </w:r>
    </w:p>
    <w:p>
      <w:pPr>
        <w:spacing w:after="80"/>
        <w:jc w:val="both"/>
      </w:pPr>
      <w:r>
        <w:rPr>
          <w:rFonts w:ascii="SimSun" w:hAnsi="SimSun" w:eastAsia="SimSun"/>
          <w:b/>
        </w:rPr>
        <w:t>现稿</w:t>
      </w:r>
      <w:r>
        <w:rPr>
          <w:rFonts w:ascii="SimSun" w:hAnsi="SimSun" w:eastAsia="SimSun"/>
        </w:rPr>
        <w:t>：</w:t>
      </w:r>
    </w:p>
    <w:p>
      <w:pPr>
        <w:ind w:left="360"/>
      </w:pPr>
      <w:r>
        <w:rPr>
          <w:rFonts w:ascii="SimSun" w:hAnsi="SimSun" w:eastAsia="SimSun"/>
          <w:i/>
        </w:rPr>
        <w:t>S2，依据所述设计建筑信息模型中构件的平面占位与高度信息，以及移动平台的尺寸，</w:t>
      </w:r>
    </w:p>
    <w:p>
      <w:pPr>
        <w:ind w:left="360"/>
      </w:pPr>
      <w:r>
        <w:rPr>
          <w:rFonts w:ascii="SimSun" w:hAnsi="SimSun" w:eastAsia="SimSun"/>
          <w:i/>
        </w:rPr>
        <w:t>构建所述移动平台的可通行空间；</w:t>
      </w:r>
    </w:p>
    <w:p>
      <w:pPr>
        <w:spacing w:after="80"/>
        <w:jc w:val="both"/>
      </w:pPr>
      <w:r>
        <w:rPr>
          <w:rFonts w:ascii="SimSun" w:hAnsi="SimSun" w:eastAsia="SimSun"/>
          <w:b/>
        </w:rPr>
        <w:t>建议改为</w:t>
      </w:r>
      <w:r>
        <w:rPr>
          <w:rFonts w:ascii="SimSun" w:hAnsi="SimSun" w:eastAsia="SimSun"/>
        </w:rPr>
        <w:t>：</w:t>
      </w:r>
    </w:p>
    <w:p>
      <w:pPr>
        <w:ind w:left="360"/>
      </w:pPr>
      <w:r>
        <w:rPr>
          <w:rFonts w:ascii="SimSun" w:hAnsi="SimSun" w:eastAsia="SimSun"/>
          <w:i/>
        </w:rPr>
        <w:t>S2，构建所述移动平台的规划环境模型；所述规划环境模型将平面区域划分为已确认占据、</w:t>
      </w:r>
    </w:p>
    <w:p>
      <w:pPr>
        <w:ind w:left="360"/>
      </w:pPr>
      <w:r>
        <w:rPr>
          <w:rFonts w:ascii="SimSun" w:hAnsi="SimSun" w:eastAsia="SimSun"/>
          <w:i/>
        </w:rPr>
        <w:t>已确认自由与未确认三种状态；其初始内容至少依据所述已采集点云确定：将所述已采集</w:t>
      </w:r>
    </w:p>
    <w:p>
      <w:pPr>
        <w:ind w:left="360"/>
      </w:pPr>
      <w:r>
        <w:rPr>
          <w:rFonts w:ascii="SimSun" w:hAnsi="SimSun" w:eastAsia="SimSun"/>
          <w:i/>
        </w:rPr>
        <w:t>点云中高度处于所述移动平台通行高度区间内的回波点所在区域确定为已确认占据，将</w:t>
      </w:r>
    </w:p>
    <w:p>
      <w:pPr>
        <w:ind w:left="360"/>
      </w:pPr>
      <w:r>
        <w:rPr>
          <w:rFonts w:ascii="SimSun" w:hAnsi="SimSun" w:eastAsia="SimSun"/>
          <w:i/>
        </w:rPr>
        <w:t>各采集站位至其各回波点之间连线所经区域确定为已确认自由，其余区域为未确认；</w:t>
      </w:r>
    </w:p>
    <w:p>
      <w:pPr>
        <w:ind w:left="360"/>
      </w:pPr>
      <w:r>
        <w:rPr>
          <w:rFonts w:ascii="SimSun" w:hAnsi="SimSun" w:eastAsia="SimSun"/>
          <w:b/>
          <w:i/>
        </w:rPr>
        <w:t>所述未确认区域不作为可通行区域</w:t>
      </w:r>
      <w:r>
        <w:rPr>
          <w:rFonts w:ascii="SimSun" w:hAnsi="SimSun" w:eastAsia="SimSun"/>
          <w:i/>
        </w:rPr>
        <w:t>；并依据所述移动平台的尺寸对已确认自由区域作</w:t>
      </w:r>
    </w:p>
    <w:p>
      <w:pPr>
        <w:ind w:left="360"/>
      </w:pPr>
      <w:r>
        <w:rPr>
          <w:rFonts w:ascii="SimSun" w:hAnsi="SimSun" w:eastAsia="SimSun"/>
          <w:i/>
        </w:rPr>
        <w:t>收缩，得到可通行空间；</w:t>
      </w:r>
    </w:p>
    <w:p>
      <w:pPr>
        <w:spacing w:after="80"/>
        <w:jc w:val="both"/>
      </w:pPr>
      <w:r>
        <w:rPr>
          <w:rFonts w:ascii="SimSun" w:hAnsi="SimSun" w:eastAsia="SimSun"/>
        </w:rPr>
        <w:t xml:space="preserve">要点，逐条都对应代码中的一处 </w:t>
      </w:r>
      <w:r>
        <w:rPr>
          <w:rFonts w:ascii="SimSun" w:hAnsi="SimSun" w:eastAsia="SimSun"/>
          <w:b/>
        </w:rPr>
        <w:t>[A]</w:t>
      </w:r>
      <w:r>
        <w:rPr>
          <w:rFonts w:ascii="SimSun" w:hAnsi="SimSun" w:eastAsia="SimSun"/>
        </w:rPr>
        <w:t>：</w:t>
      </w:r>
    </w:p>
    <w:p>
      <w:pPr>
        <w:spacing w:after="40"/>
        <w:ind w:left="640" w:hanging="280"/>
      </w:pPr>
      <w:r>
        <w:rPr>
          <w:rFonts w:ascii="SimSun" w:hAnsi="SimSun" w:eastAsia="SimSun"/>
        </w:rPr>
        <w:t xml:space="preserve">1. </w:t>
      </w:r>
      <w:r>
        <w:rPr>
          <w:rFonts w:ascii="SimSun" w:hAnsi="SimSun" w:eastAsia="SimSun"/>
          <w:b/>
        </w:rPr>
        <w:t>三态</w:t>
      </w:r>
      <w:r>
        <w:rPr>
          <w:rFonts w:ascii="SimSun" w:hAnsi="SimSun" w:eastAsia="SimSun"/>
        </w:rPr>
        <w:t>，而不是「障碍/非障碍」二态。未确认必须是独立状态。</w:t>
      </w:r>
    </w:p>
    <w:p>
      <w:pPr>
        <w:spacing w:after="40"/>
        <w:ind w:left="640" w:hanging="280"/>
      </w:pPr>
      <w:r>
        <w:rPr>
          <w:rFonts w:ascii="SimSun" w:hAnsi="SimSun" w:eastAsia="SimSun"/>
        </w:rPr>
        <w:t xml:space="preserve">2. </w:t>
      </w:r>
      <w:r>
        <w:rPr>
          <w:rFonts w:ascii="SimSun" w:hAnsi="SimSun" w:eastAsia="SimSun"/>
          <w:b/>
        </w:rPr>
        <w:t>未确认不得默认可通行</w:t>
      </w:r>
      <w:r>
        <w:rPr>
          <w:rFonts w:ascii="SimSun" w:hAnsi="SimSun" w:eastAsia="SimSun"/>
        </w:rPr>
        <w:t>。这是弱先验下最容易偷跑的一处，须写进权利要求正文而非仅在说明书提及。</w:t>
      </w:r>
    </w:p>
    <w:p>
      <w:pPr>
        <w:spacing w:after="40"/>
        <w:ind w:left="640" w:hanging="280"/>
      </w:pPr>
      <w:r>
        <w:rPr>
          <w:rFonts w:ascii="SimSun" w:hAnsi="SimSun" w:eastAsia="SimSun"/>
        </w:rPr>
        <w:t xml:space="preserve">3. </w:t>
      </w:r>
      <w:r>
        <w:rPr>
          <w:rFonts w:ascii="SimSun" w:hAnsi="SimSun" w:eastAsia="SimSun"/>
          <w:b/>
        </w:rPr>
        <w:t>自由区来自射线穿越</w:t>
      </w:r>
      <w:r>
        <w:rPr>
          <w:rFonts w:ascii="SimSun" w:hAnsi="SimSun" w:eastAsia="SimSun"/>
        </w:rPr>
        <w:t>，不是来自「模型里此处为空」。射线打到回波点才停下，沿途必然是空的 —— 这是唯一能由观测*证明*某处可通行的依据。</w:t>
      </w:r>
    </w:p>
    <w:p>
      <w:pPr>
        <w:spacing w:after="40"/>
        <w:ind w:left="640" w:hanging="280"/>
      </w:pPr>
      <w:r>
        <w:rPr>
          <w:rFonts w:ascii="SimSun" w:hAnsi="SimSun" w:eastAsia="SimSun"/>
        </w:rPr>
        <w:t>4. 初始内容来自</w:t>
      </w:r>
      <w:r>
        <w:rPr>
          <w:rFonts w:ascii="SimSun" w:hAnsi="SimSun" w:eastAsia="SimSun"/>
          <w:b/>
        </w:rPr>
        <w:t>已采集点云</w:t>
      </w:r>
      <w:r>
        <w:rPr>
          <w:rFonts w:ascii="SimSun" w:hAnsi="SimSun" w:eastAsia="SimSun"/>
        </w:rPr>
        <w:t>，即产生了待补缺口的那次初始扫描，不需要额外作业。</w:t>
      </w:r>
    </w:p>
    <w:p>
      <w:pPr>
        <w:pStyle w:val="Heading3"/>
        <w:spacing w:before="120" w:after="80"/>
      </w:pPr>
      <w:r>
        <w:rPr>
          <w:rFonts w:ascii="SimHei" w:hAnsi="SimHei" w:eastAsia="SimHei"/>
          <w:color w:val="000000"/>
          <w:sz w:val="24"/>
        </w:rPr>
        <w:t>S3 — 不变</w:t>
      </w:r>
    </w:p>
    <w:p>
      <w:pPr>
        <w:spacing w:after="80"/>
        <w:jc w:val="both"/>
      </w:pPr>
      <w:r>
        <w:rPr>
          <w:rFonts w:ascii="SimSun" w:hAnsi="SimSun" w:eastAsia="SimSun"/>
        </w:rPr>
        <w:t>候选生成读目标参考模型的分块位置与法向、读 S2 的可通行空间，随 S2 自动跟随。</w:t>
      </w:r>
      <w:r>
        <w:rPr>
          <w:rFonts w:ascii="SimSun" w:hAnsi="SimSun" w:eastAsia="SimSun"/>
          <w:b/>
        </w:rPr>
        <w:t>[A]</w:t>
      </w:r>
    </w:p>
    <w:p>
      <w:pPr>
        <w:pStyle w:val="Heading3"/>
        <w:spacing w:before="120" w:after="80"/>
      </w:pPr>
      <w:r>
        <w:rPr>
          <w:rFonts w:ascii="SimHei" w:hAnsi="SimHei" w:eastAsia="SimHei"/>
          <w:color w:val="000000"/>
          <w:sz w:val="24"/>
        </w:rPr>
        <w:t>S4 — 改一句</w:t>
      </w:r>
    </w:p>
    <w:p>
      <w:pPr>
        <w:spacing w:after="80"/>
        <w:jc w:val="both"/>
      </w:pPr>
      <w:r>
        <w:rPr>
          <w:rFonts w:ascii="SimSun" w:hAnsi="SimSun" w:eastAsia="SimSun"/>
          <w:b/>
        </w:rPr>
        <w:t>现稿</w:t>
      </w:r>
      <w:r>
        <w:rPr>
          <w:rFonts w:ascii="SimSun" w:hAnsi="SimSun" w:eastAsia="SimSun"/>
        </w:rPr>
        <w:t>：「所述规划用遮挡模型的初始内容为所述设计建筑信息模型的表面」</w:t>
      </w:r>
    </w:p>
    <w:p>
      <w:pPr>
        <w:spacing w:after="80"/>
        <w:jc w:val="both"/>
      </w:pPr>
      <w:r>
        <w:rPr>
          <w:rFonts w:ascii="SimSun" w:hAnsi="SimSun" w:eastAsia="SimSun"/>
          <w:b/>
        </w:rPr>
        <w:t>建议</w:t>
      </w:r>
      <w:r>
        <w:rPr>
          <w:rFonts w:ascii="SimSun" w:hAnsi="SimSun" w:eastAsia="SimSun"/>
        </w:rPr>
        <w:t>：「所述规划用遮挡模型的初始内容为所述目标参考模型的目标表面」</w:t>
      </w:r>
    </w:p>
    <w:p>
      <w:pPr>
        <w:spacing w:after="80"/>
        <w:jc w:val="both"/>
      </w:pPr>
      <w:r>
        <w:rPr>
          <w:rFonts w:ascii="SimSun" w:hAnsi="SimSun" w:eastAsia="SimSun"/>
        </w:rPr>
        <w:t>即：规划器一开始只知道目标长什么样，不知道现场还有什么。</w:t>
      </w:r>
      <w:r>
        <w:rPr>
          <w:rFonts w:ascii="SimSun" w:hAnsi="SimSun" w:eastAsia="SimSun"/>
          <w:b/>
        </w:rPr>
        <w:t>[A]</w:t>
      </w:r>
    </w:p>
    <w:p>
      <w:pPr>
        <w:pStyle w:val="Heading3"/>
        <w:spacing w:before="120" w:after="80"/>
      </w:pPr>
      <w:r>
        <w:rPr>
          <w:rFonts w:ascii="SimHei" w:hAnsi="SimHei" w:eastAsia="SimHei"/>
          <w:color w:val="000000"/>
          <w:sz w:val="24"/>
        </w:rPr>
        <w:t>S7 — 改比对基准，判据本身不动</w:t>
      </w:r>
    </w:p>
    <w:p>
      <w:pPr>
        <w:spacing w:after="80"/>
        <w:jc w:val="both"/>
      </w:pPr>
      <w:r>
        <w:rPr>
          <w:rFonts w:ascii="SimSun" w:hAnsi="SimSun" w:eastAsia="SimSun"/>
          <w:b/>
        </w:rPr>
        <w:t>现稿</w:t>
      </w:r>
      <w:r>
        <w:rPr>
          <w:rFonts w:ascii="SimSun" w:hAnsi="SimSun" w:eastAsia="SimSun"/>
        </w:rPr>
        <w:t>：「计算所述新增点云中各回波点至所述设计建筑信息模型</w:t>
      </w:r>
      <w:r>
        <w:rPr>
          <w:rFonts w:ascii="SimSun" w:hAnsi="SimSun" w:eastAsia="SimSun"/>
          <w:b/>
        </w:rPr>
        <w:t>全部表面</w:t>
      </w:r>
      <w:r>
        <w:rPr>
          <w:rFonts w:ascii="SimSun" w:hAnsi="SimSun" w:eastAsia="SimSun"/>
        </w:rPr>
        <w:t>的最近距离」</w:t>
      </w:r>
    </w:p>
    <w:p>
      <w:pPr>
        <w:spacing w:after="80"/>
        <w:jc w:val="both"/>
      </w:pPr>
      <w:r>
        <w:rPr>
          <w:rFonts w:ascii="SimSun" w:hAnsi="SimSun" w:eastAsia="SimSun"/>
          <w:b/>
        </w:rPr>
        <w:t>建议</w:t>
      </w:r>
      <w:r>
        <w:rPr>
          <w:rFonts w:ascii="SimSun" w:hAnsi="SimSun" w:eastAsia="SimSun"/>
        </w:rPr>
        <w:t>：「计算所述新增点云中各回波点至所述目标参考模型的</w:t>
      </w:r>
      <w:r>
        <w:rPr>
          <w:rFonts w:ascii="SimSun" w:hAnsi="SimSun" w:eastAsia="SimSun"/>
          <w:b/>
        </w:rPr>
        <w:t>目标表面</w:t>
      </w:r>
      <w:r>
        <w:rPr>
          <w:rFonts w:ascii="SimSun" w:hAnsi="SimSun" w:eastAsia="SimSun"/>
        </w:rPr>
        <w:t>的最近距离」</w:t>
      </w:r>
    </w:p>
    <w:p>
      <w:pPr>
        <w:spacing w:after="80"/>
        <w:jc w:val="both"/>
      </w:pPr>
      <w:r>
        <w:rPr>
          <w:rFonts w:ascii="SimSun" w:hAnsi="SimSun" w:eastAsia="SimSun"/>
        </w:rPr>
        <w:t xml:space="preserve">判据 </w:t>
      </w:r>
      <w:r>
        <w:rPr>
          <w:rFonts w:ascii="Consolas" w:hAnsi="Consolas" w:eastAsia="Consolas"/>
          <w:sz w:val="18"/>
        </w:rPr>
        <w:t>d(x, T) &gt; ε</w:t>
      </w:r>
      <w:r>
        <w:rPr>
          <w:rFonts w:ascii="SimSun" w:hAnsi="SimSun" w:eastAsia="SimSun"/>
        </w:rPr>
        <w:t xml:space="preserve"> 一字未改，只换 T。语义随之由「模型外临时异物」自然上位为「</w:t>
      </w:r>
      <w:r>
        <w:rPr>
          <w:rFonts w:ascii="SimSun" w:hAnsi="SimSun" w:eastAsia="SimSun"/>
          <w:b/>
        </w:rPr>
        <w:t>参考模型未描述的环境几何</w:t>
      </w:r>
      <w:r>
        <w:rPr>
          <w:rFonts w:ascii="SimSun" w:hAnsi="SimSun" w:eastAsia="SimSun"/>
        </w:rPr>
        <w:t>」—— 这正是本轮要求的上位化，且</w:t>
      </w:r>
      <w:r>
        <w:rPr>
          <w:rFonts w:ascii="SimSun" w:hAnsi="SimSun" w:eastAsia="SimSun"/>
          <w:b/>
        </w:rPr>
        <w:t>不需要改动判据本身</w:t>
      </w:r>
      <w:r>
        <w:rPr>
          <w:rFonts w:ascii="SimSun" w:hAnsi="SimSun" w:eastAsia="SimSun"/>
        </w:rPr>
        <w:t>。</w:t>
      </w:r>
      <w:r>
        <w:rPr>
          <w:rFonts w:ascii="SimSun" w:hAnsi="SimSun" w:eastAsia="SimSun"/>
          <w:b/>
        </w:rPr>
        <w:t>[A]</w:t>
      </w:r>
    </w:p>
    <w:p>
      <w:pPr>
        <w:pStyle w:val="Heading3"/>
        <w:spacing w:before="120" w:after="80"/>
      </w:pPr>
      <w:r>
        <w:rPr>
          <w:rFonts w:ascii="SimHei" w:hAnsi="SimHei" w:eastAsia="SimHei"/>
          <w:color w:val="000000"/>
          <w:sz w:val="24"/>
        </w:rPr>
        <w:t>S8 — 增加一条回灌</w:t>
      </w:r>
    </w:p>
    <w:p>
      <w:pPr>
        <w:spacing w:after="80"/>
        <w:jc w:val="both"/>
      </w:pPr>
      <w:r>
        <w:rPr>
          <w:rFonts w:ascii="SimSun" w:hAnsi="SimSun" w:eastAsia="SimSun"/>
          <w:b/>
        </w:rPr>
        <w:t>现稿</w:t>
      </w:r>
      <w:r>
        <w:rPr>
          <w:rFonts w:ascii="SimSun" w:hAnsi="SimSun" w:eastAsia="SimSun"/>
        </w:rPr>
        <w:t>：S8 把体素并入规划用遮挡模型，并更新缺口证据、任务分数、缺口表面分块。</w:t>
      </w:r>
    </w:p>
    <w:p>
      <w:pPr>
        <w:spacing w:after="80"/>
        <w:jc w:val="both"/>
      </w:pPr>
      <w:r>
        <w:rPr>
          <w:rFonts w:ascii="SimSun" w:hAnsi="SimSun" w:eastAsia="SimSun"/>
          <w:b/>
        </w:rPr>
        <w:t>建议增补</w:t>
      </w:r>
      <w:r>
        <w:rPr>
          <w:rFonts w:ascii="SimSun" w:hAnsi="SimSun" w:eastAsia="SimSun"/>
        </w:rPr>
        <w:t>：</w:t>
      </w:r>
    </w:p>
    <w:p>
      <w:pPr>
        <w:ind w:left="360"/>
      </w:pPr>
      <w:r>
        <w:rPr>
          <w:rFonts w:ascii="SimSun" w:hAnsi="SimSun" w:eastAsia="SimSun"/>
          <w:i/>
        </w:rPr>
        <w:t>…并以所述新增点云按 S2 所述方式更新所述规划环境模型的所述三种状态；</w:t>
      </w:r>
    </w:p>
    <w:p>
      <w:pPr>
        <w:spacing w:after="80"/>
        <w:jc w:val="both"/>
      </w:pPr>
      <w:r>
        <w:rPr>
          <w:rFonts w:ascii="SimSun" w:hAnsi="SimSun" w:eastAsia="SimSun"/>
        </w:rPr>
        <w:t>即闭环二的另一半：新增观测不仅修正</w:t>
      </w:r>
      <w:r>
        <w:rPr>
          <w:rFonts w:ascii="SimSun" w:hAnsi="SimSun" w:eastAsia="SimSun"/>
          <w:b/>
        </w:rPr>
        <w:t>看得见什么</w:t>
      </w:r>
      <w:r>
        <w:rPr>
          <w:rFonts w:ascii="SimSun" w:hAnsi="SimSun" w:eastAsia="SimSun"/>
        </w:rPr>
        <w:t>（回灌 S4），也修正</w:t>
      </w:r>
      <w:r>
        <w:rPr>
          <w:rFonts w:ascii="SimSun" w:hAnsi="SimSun" w:eastAsia="SimSun"/>
          <w:b/>
        </w:rPr>
        <w:t>走得到哪里</w:t>
      </w:r>
      <w:r>
        <w:rPr>
          <w:rFonts w:ascii="SimSun" w:hAnsi="SimSun" w:eastAsia="SimSun"/>
        </w:rPr>
        <w:t>（回灌 S2）。现稿只有前一条，</w:t>
      </w:r>
      <w:r>
        <w:rPr>
          <w:rFonts w:ascii="Consolas" w:hAnsi="Consolas" w:eastAsia="Consolas"/>
          <w:sz w:val="18"/>
        </w:rPr>
        <w:t>world.grid</w:t>
      </w:r>
      <w:r>
        <w:rPr>
          <w:rFonts w:ascii="SimSun" w:hAnsi="SimSun" w:eastAsia="SimSun"/>
        </w:rPr>
        <w:t xml:space="preserve"> 在整个闭环中从不更新。</w:t>
      </w:r>
      <w:r>
        <w:rPr>
          <w:rFonts w:ascii="SimSun" w:hAnsi="SimSun" w:eastAsia="SimSun"/>
          <w:b/>
        </w:rPr>
        <w:t>[A]</w:t>
      </w:r>
    </w:p>
    <w:p>
      <w:pPr>
        <w:pStyle w:val="Heading2"/>
        <w:spacing w:before="200" w:after="80"/>
      </w:pPr>
      <w:r>
        <w:rPr>
          <w:rFonts w:ascii="SimHei" w:hAnsi="SimHei" w:eastAsia="SimHei"/>
          <w:color w:val="000000"/>
          <w:sz w:val="27"/>
        </w:rPr>
        <w:t>五、权利要求 1</w:t>
      </w:r>
    </w:p>
    <w:p>
      <w:pPr>
        <w:spacing w:after="80"/>
        <w:jc w:val="both"/>
      </w:pPr>
      <w:r>
        <w:rPr>
          <w:rFonts w:ascii="SimSun" w:hAnsi="SimSun" w:eastAsia="SimSun"/>
        </w:rPr>
        <w:t>改动集中在 S2、S4、S7、S8 四处，措辞见第四节。三点须一并注意：</w:t>
      </w:r>
    </w:p>
    <w:p>
      <w:pPr>
        <w:spacing w:after="40"/>
        <w:ind w:left="640" w:hanging="280"/>
      </w:pPr>
      <w:r>
        <w:rPr>
          <w:rFonts w:ascii="SimSun" w:hAnsi="SimSun" w:eastAsia="SimSun"/>
        </w:rPr>
        <w:t xml:space="preserve">1. </w:t>
      </w:r>
      <w:r>
        <w:rPr>
          <w:rFonts w:ascii="SimSun" w:hAnsi="SimSun" w:eastAsia="SimSun"/>
          <w:b/>
        </w:rPr>
        <w:t>S2 的改写是上位化还是限缩？</w:t>
      </w:r>
      <w:r>
        <w:rPr>
          <w:rFonts w:ascii="SimSun" w:hAnsi="SimSun" w:eastAsia="SimSun"/>
        </w:rPr>
        <w:t xml:space="preserve"> 现稿 S2 要求「依据设计模型构件的平面占位与高度信息」构建可通行空间；新 S2 要求「依据已采集点云」。二者是</w:t>
      </w:r>
      <w:r>
        <w:rPr>
          <w:rFonts w:ascii="SimSun" w:hAnsi="SimSun" w:eastAsia="SimSun"/>
          <w:b/>
        </w:rPr>
        <w:t>不同的技术手段</w:t>
      </w:r>
      <w:r>
        <w:rPr>
          <w:rFonts w:ascii="SimSun" w:hAnsi="SimSun" w:eastAsia="SimSun"/>
        </w:rPr>
        <w:t>，不是包含关系。若希望同时覆盖两种来源，须把 S2 写成「依据已采集点云、或依据已采集点云与目标参考模型两者」，并把纯观测式写入从属权。</w:t>
      </w:r>
      <w:r>
        <w:rPr>
          <w:rFonts w:ascii="SimSun" w:hAnsi="SimSun" w:eastAsia="SimSun"/>
          <w:b/>
        </w:rPr>
        <w:t>建议采用纯观测式作为独立权</w:t>
      </w:r>
      <w:r>
        <w:rPr>
          <w:rFonts w:ascii="SimSun" w:hAnsi="SimSun" w:eastAsia="SimSun"/>
        </w:rPr>
        <w:t xml:space="preserve"> —— 它才是本轮要主张的区别技术特征；由设计模型生成可通行空间属于现有技术做法，写进独立权反而削弱新颖性论证。</w:t>
      </w:r>
      <w:r>
        <w:rPr>
          <w:rFonts w:ascii="SimSun" w:hAnsi="SimSun" w:eastAsia="SimSun"/>
          <w:b/>
        </w:rPr>
        <w:t>[C]</w:t>
      </w:r>
    </w:p>
    <w:p>
      <w:pPr>
        <w:spacing w:after="40"/>
        <w:ind w:left="640" w:hanging="280"/>
      </w:pPr>
      <w:r>
        <w:rPr>
          <w:rFonts w:ascii="SimSun" w:hAnsi="SimSun" w:eastAsia="SimSun"/>
        </w:rPr>
        <w:t xml:space="preserve">2. </w:t>
      </w:r>
      <w:r>
        <w:rPr>
          <w:rFonts w:ascii="SimSun" w:hAnsi="SimSun" w:eastAsia="SimSun"/>
          <w:b/>
        </w:rPr>
        <w:t>「未确认区域不作为可通行区域」必须在独立权正文中。</w:t>
      </w:r>
      <w:r>
        <w:rPr>
          <w:rFonts w:ascii="SimSun" w:hAnsi="SimSun" w:eastAsia="SimSun"/>
        </w:rPr>
        <w:t xml:space="preserve"> 它是本方案与「模型里为空即可走」的分界线，放进从属权等于把区别特征让出去。</w:t>
      </w:r>
      <w:r>
        <w:rPr>
          <w:rFonts w:ascii="SimSun" w:hAnsi="SimSun" w:eastAsia="SimSun"/>
          <w:b/>
        </w:rPr>
        <w:t>[C]</w:t>
      </w:r>
    </w:p>
    <w:p>
      <w:pPr>
        <w:spacing w:after="40"/>
        <w:ind w:left="640" w:hanging="280"/>
      </w:pPr>
      <w:r>
        <w:rPr>
          <w:rFonts w:ascii="SimSun" w:hAnsi="SimSun" w:eastAsia="SimSun"/>
        </w:rPr>
        <w:t xml:space="preserve">3. </w:t>
      </w:r>
      <w:r>
        <w:rPr>
          <w:rFonts w:ascii="SimSun" w:hAnsi="SimSun" w:eastAsia="SimSun"/>
          <w:b/>
        </w:rPr>
        <w:t>引用基础</w:t>
      </w:r>
      <w:r>
        <w:rPr>
          <w:rFonts w:ascii="SimSun" w:hAnsi="SimSun" w:eastAsia="SimSun"/>
        </w:rPr>
        <w:t>：S2 新引入「已确认占据/已确认自由/未确认」「通行高度区间」三个概念，S8 回引 S2 时须写「按 S2 所述方式」，不得另起措辞。</w:t>
      </w:r>
    </w:p>
    <w:p>
      <w:pPr>
        <w:pStyle w:val="Heading2"/>
        <w:spacing w:before="200" w:after="80"/>
      </w:pPr>
      <w:r>
        <w:rPr>
          <w:rFonts w:ascii="SimHei" w:hAnsi="SimHei" w:eastAsia="SimHei"/>
          <w:color w:val="000000"/>
          <w:sz w:val="27"/>
        </w:rPr>
        <w:t>六、从属权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权项</w:t>
            </w:r>
          </w:p>
        </w:tc>
        <w:tc>
          <w:tcPr>
            <w:tcW w:type="dxa" w:w="2880"/>
          </w:tcPr>
          <w:p>
            <w:pPr>
              <w:spacing w:before="20" w:after="20"/>
            </w:pPr>
            <w:r>
              <w:rPr>
                <w:rFonts w:ascii="SimSun" w:hAnsi="SimSun" w:eastAsia="SimSun"/>
                <w:b/>
                <w:sz w:val="17"/>
              </w:rPr>
              <w:t>现状</w:t>
            </w:r>
          </w:p>
        </w:tc>
        <w:tc>
          <w:tcPr>
            <w:tcW w:type="dxa" w:w="2880"/>
          </w:tcPr>
          <w:p>
            <w:pPr>
              <w:spacing w:before="20" w:after="20"/>
            </w:pPr>
            <w:r>
              <w:rPr>
                <w:rFonts w:ascii="SimSun" w:hAnsi="SimSun" w:eastAsia="SimSun"/>
                <w:b/>
                <w:sz w:val="17"/>
              </w:rPr>
              <w:t>建议</w:t>
            </w:r>
          </w:p>
        </w:tc>
      </w:tr>
      <w:tr>
        <w:tc>
          <w:tcPr>
            <w:tcW w:type="dxa" w:w="2880"/>
          </w:tcPr>
          <w:p>
            <w:pPr>
              <w:spacing w:before="20" w:after="20"/>
            </w:pPr>
            <w:r>
              <w:rPr>
                <w:rFonts w:ascii="SimSun" w:hAnsi="SimSun" w:eastAsia="SimSun"/>
                <w:sz w:val="17"/>
              </w:rPr>
              <w:t>7</w:t>
            </w:r>
          </w:p>
        </w:tc>
        <w:tc>
          <w:tcPr>
            <w:tcW w:type="dxa" w:w="2880"/>
          </w:tcPr>
          <w:p>
            <w:pPr>
              <w:spacing w:before="20" w:after="20"/>
            </w:pPr>
            <w:r>
              <w:rPr>
                <w:rFonts w:ascii="SimSun" w:hAnsi="SimSun" w:eastAsia="SimSun"/>
                <w:sz w:val="17"/>
              </w:rPr>
              <w:t>S2 的二维栅格实施细节（由模型构件标记障碍、膨胀）</w:t>
            </w:r>
          </w:p>
        </w:tc>
        <w:tc>
          <w:tcPr>
            <w:tcW w:type="dxa" w:w="2880"/>
          </w:tcPr>
          <w:p>
            <w:pPr>
              <w:spacing w:before="20" w:after="20"/>
            </w:pPr>
            <w:r>
              <w:rPr>
                <w:rFonts w:ascii="SimSun" w:hAnsi="SimSun" w:eastAsia="SimSun"/>
                <w:b/>
                <w:sz w:val="17"/>
              </w:rPr>
              <w:t>改写</w:t>
            </w:r>
            <w:r>
              <w:rPr>
                <w:rFonts w:ascii="SimSun" w:hAnsi="SimSun" w:eastAsia="SimSun"/>
                <w:sz w:val="17"/>
              </w:rPr>
              <w:t>：改为三态栅格的实施细节（高度区间、射线穿越标记自由、占据不被后续射线抹回自由、按半径收缩）</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新增</w:t>
            </w:r>
            <w:r>
              <w:rPr>
                <w:rFonts w:ascii="SimSun" w:hAnsi="SimSun" w:eastAsia="SimSun"/>
                <w:sz w:val="17"/>
              </w:rPr>
              <w:t>：可信安全先验 —— 带电体禁入区等作业安全规程所确定的禁入区域，在无观测时即写入规划环境模型，且只增加禁入、不增加可通行</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新增</w:t>
            </w:r>
            <w:r>
              <w:rPr>
                <w:rFonts w:ascii="SimSun" w:hAnsi="SimSun" w:eastAsia="SimSun"/>
                <w:sz w:val="17"/>
              </w:rPr>
              <w:t>：目标参考模型的一致性约束 —— 规划环境模型的初始遮挡内容包含目标参考模型的全部目标表面</w:t>
            </w:r>
          </w:p>
        </w:tc>
      </w:tr>
      <w:tr>
        <w:tc>
          <w:tcPr>
            <w:tcW w:type="dxa" w:w="2880"/>
          </w:tcPr>
          <w:p>
            <w:pPr>
              <w:spacing w:before="20" w:after="20"/>
            </w:pPr>
            <w:r>
              <w:rPr>
                <w:rFonts w:ascii="SimSun" w:hAnsi="SimSun" w:eastAsia="SimSun"/>
                <w:sz w:val="17"/>
              </w:rPr>
              <w:t>—</w:t>
            </w:r>
          </w:p>
        </w:tc>
        <w:tc>
          <w:tcPr>
            <w:tcW w:type="dxa" w:w="2880"/>
          </w:tcPr>
          <w:p>
            <w:pPr>
              <w:spacing w:before="20" w:after="20"/>
            </w:pPr>
            <w:r>
              <w:rPr>
                <w:rFonts w:ascii="SimSun" w:hAnsi="SimSun" w:eastAsia="SimSun"/>
                <w:sz w:val="17"/>
              </w:rPr>
              <w:t>无</w:t>
            </w:r>
          </w:p>
        </w:tc>
        <w:tc>
          <w:tcPr>
            <w:tcW w:type="dxa" w:w="2880"/>
          </w:tcPr>
          <w:p>
            <w:pPr>
              <w:spacing w:before="20" w:after="20"/>
            </w:pPr>
            <w:r>
              <w:rPr>
                <w:rFonts w:ascii="SimSun" w:hAnsi="SimSun" w:eastAsia="SimSun"/>
                <w:b/>
                <w:sz w:val="17"/>
              </w:rPr>
              <w:t>可选新增</w:t>
            </w:r>
            <w:r>
              <w:rPr>
                <w:rFonts w:ascii="SimSun" w:hAnsi="SimSun" w:eastAsia="SimSun"/>
                <w:sz w:val="17"/>
              </w:rPr>
              <w:t>：当满足剩余预算的候选站位为空时，自已确认自由区域与未确认区域的边界邻域中选取本轮执行站位（弱先验下候选池枯竭的兜底；</w:t>
            </w:r>
            <w:r>
              <w:rPr>
                <w:rFonts w:ascii="SimSun" w:hAnsi="SimSun" w:eastAsia="SimSun"/>
                <w:b/>
                <w:sz w:val="17"/>
              </w:rPr>
              <w:t>是否纳入取决于 E7 的终止原因分布</w:t>
            </w:r>
            <w:r>
              <w:rPr>
                <w:rFonts w:ascii="SimSun" w:hAnsi="SimSun" w:eastAsia="SimSun"/>
                <w:sz w:val="17"/>
              </w:rPr>
              <w:t>，见第七节）</w:t>
            </w:r>
          </w:p>
        </w:tc>
      </w:tr>
      <w:tr>
        <w:tc>
          <w:tcPr>
            <w:tcW w:type="dxa" w:w="2880"/>
          </w:tcPr>
          <w:p>
            <w:pPr>
              <w:spacing w:before="20" w:after="20"/>
            </w:pPr>
            <w:r>
              <w:rPr>
                <w:rFonts w:ascii="SimSun" w:hAnsi="SimSun" w:eastAsia="SimSun"/>
                <w:sz w:val="17"/>
              </w:rPr>
              <w:t>8</w:t>
            </w:r>
          </w:p>
        </w:tc>
        <w:tc>
          <w:tcPr>
            <w:tcW w:type="dxa" w:w="2880"/>
          </w:tcPr>
          <w:p>
            <w:pPr>
              <w:spacing w:before="20" w:after="20"/>
            </w:pPr>
            <w:r>
              <w:rPr>
                <w:rFonts w:ascii="SimSun" w:hAnsi="SimSun" w:eastAsia="SimSun"/>
                <w:sz w:val="17"/>
              </w:rPr>
              <w:t>单源最短路</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9、10</w:t>
            </w:r>
          </w:p>
        </w:tc>
        <w:tc>
          <w:tcPr>
            <w:tcW w:type="dxa" w:w="2880"/>
          </w:tcPr>
          <w:p>
            <w:pPr>
              <w:spacing w:before="20" w:after="20"/>
            </w:pPr>
            <w:r>
              <w:rPr>
                <w:rFonts w:ascii="SimSun" w:hAnsi="SimSun" w:eastAsia="SimSun"/>
                <w:sz w:val="17"/>
              </w:rPr>
              <w:t>配准可用性判定</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2–6</w:t>
            </w:r>
          </w:p>
        </w:tc>
        <w:tc>
          <w:tcPr>
            <w:tcW w:type="dxa" w:w="2880"/>
          </w:tcPr>
          <w:p>
            <w:pPr>
              <w:spacing w:before="20" w:after="20"/>
            </w:pPr>
            <w:r>
              <w:rPr>
                <w:rFonts w:ascii="SimSun" w:hAnsi="SimSun" w:eastAsia="SimSun"/>
                <w:sz w:val="17"/>
              </w:rPr>
              <w:t>执行规则与预算回退</w:t>
            </w:r>
          </w:p>
        </w:tc>
        <w:tc>
          <w:tcPr>
            <w:tcW w:type="dxa" w:w="2880"/>
          </w:tcPr>
          <w:p>
            <w:pPr>
              <w:spacing w:before="20" w:after="20"/>
            </w:pPr>
            <w:r>
              <w:rPr>
                <w:rFonts w:ascii="SimSun" w:hAnsi="SimSun" w:eastAsia="SimSun"/>
                <w:sz w:val="17"/>
              </w:rPr>
              <w:t>不变</w:t>
            </w:r>
          </w:p>
        </w:tc>
      </w:tr>
      <w:tr>
        <w:tc>
          <w:tcPr>
            <w:tcW w:type="dxa" w:w="2880"/>
          </w:tcPr>
          <w:p>
            <w:pPr>
              <w:spacing w:before="20" w:after="20"/>
            </w:pPr>
            <w:r>
              <w:rPr>
                <w:rFonts w:ascii="SimSun" w:hAnsi="SimSun" w:eastAsia="SimSun"/>
                <w:sz w:val="17"/>
              </w:rPr>
              <w:t>11</w:t>
            </w:r>
          </w:p>
        </w:tc>
        <w:tc>
          <w:tcPr>
            <w:tcW w:type="dxa" w:w="2880"/>
          </w:tcPr>
          <w:p>
            <w:pPr>
              <w:spacing w:before="20" w:after="20"/>
            </w:pPr>
            <w:r>
              <w:rPr>
                <w:rFonts w:ascii="SimSun" w:hAnsi="SimSun" w:eastAsia="SimSun"/>
                <w:sz w:val="17"/>
              </w:rPr>
              <w:t>系统权</w:t>
            </w:r>
          </w:p>
        </w:tc>
        <w:tc>
          <w:tcPr>
            <w:tcW w:type="dxa" w:w="2880"/>
          </w:tcPr>
          <w:p>
            <w:pPr>
              <w:spacing w:before="20" w:after="20"/>
            </w:pPr>
            <w:r>
              <w:rPr>
                <w:rFonts w:ascii="SimSun" w:hAnsi="SimSun" w:eastAsia="SimSun"/>
                <w:sz w:val="17"/>
              </w:rPr>
              <w:t>随 S2 模块名调整为「规划环境模型构建与更新模块」</w:t>
            </w:r>
          </w:p>
        </w:tc>
      </w:tr>
      <w:tr>
        <w:tc>
          <w:tcPr>
            <w:tcW w:type="dxa" w:w="2880"/>
          </w:tcPr>
          <w:p>
            <w:pPr>
              <w:spacing w:before="20" w:after="20"/>
            </w:pPr>
            <w:r>
              <w:rPr>
                <w:rFonts w:ascii="SimSun" w:hAnsi="SimSun" w:eastAsia="SimSun"/>
                <w:sz w:val="17"/>
              </w:rPr>
              <w:t>12</w:t>
            </w:r>
          </w:p>
        </w:tc>
        <w:tc>
          <w:tcPr>
            <w:tcW w:type="dxa" w:w="2880"/>
          </w:tcPr>
          <w:p>
            <w:pPr>
              <w:spacing w:before="20" w:after="20"/>
            </w:pPr>
            <w:r>
              <w:rPr>
                <w:rFonts w:ascii="SimSun" w:hAnsi="SimSun" w:eastAsia="SimSun"/>
                <w:sz w:val="17"/>
              </w:rPr>
              <w:t>介质权</w:t>
            </w:r>
          </w:p>
        </w:tc>
        <w:tc>
          <w:tcPr>
            <w:tcW w:type="dxa" w:w="2880"/>
          </w:tcPr>
          <w:p>
            <w:pPr>
              <w:spacing w:before="20" w:after="20"/>
            </w:pPr>
            <w:r>
              <w:rPr>
                <w:rFonts w:ascii="SimSun" w:hAnsi="SimSun" w:eastAsia="SimSun"/>
                <w:sz w:val="17"/>
              </w:rPr>
              <w:t>不变</w:t>
            </w:r>
          </w:p>
        </w:tc>
      </w:tr>
    </w:tbl>
    <w:p/>
    <w:p>
      <w:pPr>
        <w:pStyle w:val="Heading2"/>
        <w:spacing w:before="200" w:after="80"/>
      </w:pPr>
      <w:r>
        <w:rPr>
          <w:rFonts w:ascii="SimHei" w:hAnsi="SimHei" w:eastAsia="SimHei"/>
          <w:color w:val="000000"/>
          <w:sz w:val="27"/>
        </w:rPr>
        <w:t>七、有益效果</w:t>
      </w:r>
    </w:p>
    <w:p>
      <w:pPr>
        <w:spacing w:after="80"/>
        <w:jc w:val="both"/>
      </w:pPr>
      <w:r>
        <w:rPr>
          <w:rFonts w:ascii="SimSun" w:hAnsi="SimSun" w:eastAsia="SimSun"/>
        </w:rPr>
        <w:t>数据来源：E7（</w:t>
      </w:r>
      <w:r>
        <w:rPr>
          <w:rFonts w:ascii="Consolas" w:hAnsi="Consolas" w:eastAsia="Consolas"/>
          <w:sz w:val="18"/>
        </w:rPr>
        <w:t>results/exp7/</w:t>
      </w:r>
      <w:r>
        <w:rPr>
          <w:rFonts w:ascii="SimSun" w:hAnsi="SimSun" w:eastAsia="SimSun"/>
        </w:rPr>
        <w:t>，240 次运行）、E8（</w:t>
      </w:r>
      <w:r>
        <w:rPr>
          <w:rFonts w:ascii="Consolas" w:hAnsi="Consolas" w:eastAsia="Consolas"/>
          <w:sz w:val="18"/>
        </w:rPr>
        <w:t>results/exp8/</w:t>
      </w:r>
      <w:r>
        <w:rPr>
          <w:rFonts w:ascii="SimSun" w:hAnsi="SimSun" w:eastAsia="SimSun"/>
        </w:rPr>
        <w:t xml:space="preserve">，144 次运行），均产自 commit </w:t>
      </w:r>
      <w:r>
        <w:rPr>
          <w:rFonts w:ascii="Consolas" w:hAnsi="Consolas" w:eastAsia="Consolas"/>
          <w:sz w:val="18"/>
        </w:rPr>
        <w:t>5116dae</w:t>
      </w:r>
      <w:r>
        <w:rPr>
          <w:rFonts w:ascii="SimSun" w:hAnsi="SimSun" w:eastAsia="SimSun"/>
        </w:rPr>
        <w:t xml:space="preserve">，全部 </w:t>
      </w:r>
      <w:r>
        <w:rPr>
          <w:rFonts w:ascii="Consolas" w:hAnsi="Consolas" w:eastAsia="Consolas"/>
          <w:sz w:val="18"/>
        </w:rPr>
        <w:t>status=ok</w:t>
      </w:r>
      <w:r>
        <w:rPr>
          <w:rFonts w:ascii="SimSun" w:hAnsi="SimSun" w:eastAsia="SimSun"/>
        </w:rPr>
        <w:t>。检验为配对置换 ＋ Holm 校正，24 组配对。</w:t>
      </w:r>
    </w:p>
    <w:p>
      <w:pPr>
        <w:spacing w:after="80"/>
        <w:jc w:val="both"/>
      </w:pPr>
      <w:r>
        <w:rPr>
          <w:rFonts w:ascii="SimSun" w:hAnsi="SimSun" w:eastAsia="SimSun"/>
        </w:rPr>
        <w:t>建议在说明书「有益效果」处按下表分四条写，</w:t>
      </w:r>
      <w:r>
        <w:rPr>
          <w:rFonts w:ascii="SimSun" w:hAnsi="SimSun" w:eastAsia="SimSun"/>
          <w:b/>
        </w:rPr>
        <w:t>每条各自独立，不得互相改写</w:t>
      </w:r>
      <w:r>
        <w:rPr>
          <w:rFonts w:ascii="SimSun" w:hAnsi="SimSun" w:eastAsia="SimSun"/>
        </w:rPr>
        <w:t>：</w:t>
      </w:r>
    </w:p>
    <w:p>
      <w:pPr>
        <w:pStyle w:val="Heading3"/>
        <w:spacing w:before="120" w:after="80"/>
      </w:pPr>
      <w:r>
        <w:rPr>
          <w:rFonts w:ascii="SimHei" w:hAnsi="SimHei" w:eastAsia="SimHei"/>
          <w:color w:val="000000"/>
          <w:sz w:val="24"/>
        </w:rPr>
        <w:t>效果一 —— 移动可通行空间可以整个改由观测建立，不损失性能</w:t>
      </w:r>
    </w:p>
    <w:p>
      <w:pPr>
        <w:spacing w:after="80"/>
        <w:jc w:val="both"/>
      </w:pPr>
      <w:r>
        <w:rPr>
          <w:rFonts w:ascii="SimSun" w:hAnsi="SimSun" w:eastAsia="SimSun"/>
        </w:rPr>
        <w:t>把可通行空间由完整参考模型栅格化改为观测驱动（</w:t>
      </w:r>
      <w:r>
        <w:rPr>
          <w:rFonts w:ascii="Consolas" w:hAnsi="Consolas" w:eastAsia="Consolas"/>
          <w:sz w:val="18"/>
        </w:rPr>
        <w:t>LEGACY → P100</w:t>
      </w:r>
      <w:r>
        <w:rPr>
          <w:rFonts w:ascii="SimSun" w:hAnsi="SimSun" w:eastAsia="SimSun"/>
        </w:rPr>
        <w:t>），面积加权恢复−0.001、资产恢复 −0.004、单向高估 −0.001，</w:t>
      </w:r>
      <w:r>
        <w:rPr>
          <w:rFonts w:ascii="SimSun" w:hAnsi="SimSun" w:eastAsia="SimSun"/>
          <w:b/>
        </w:rPr>
        <w:t>四项 p_holm 全部为 1.0000</w:t>
      </w:r>
      <w:r>
        <w:rPr>
          <w:rFonts w:ascii="SimSun" w:hAnsi="SimSun" w:eastAsia="SimSun"/>
        </w:rPr>
        <w:t>。</w:t>
      </w:r>
    </w:p>
    <w:p>
      <w:pPr>
        <w:ind w:left="360"/>
      </w:pPr>
      <w:r>
        <w:rPr>
          <w:rFonts w:ascii="SimSun" w:hAnsi="SimSun" w:eastAsia="SimSun"/>
          <w:i/>
        </w:rPr>
        <w:t>可写：本方法不要求由参考模型生成移动可通行空间；改由实测点云建立并逐轮更新后，</w:t>
      </w:r>
    </w:p>
    <w:p>
      <w:pPr>
        <w:ind w:left="360"/>
      </w:pPr>
      <w:r>
        <w:rPr>
          <w:rFonts w:ascii="SimSun" w:hAnsi="SimSun" w:eastAsia="SimSun"/>
          <w:i/>
        </w:rPr>
        <w:t>在同等预算下未测得性能损失。</w:t>
      </w:r>
    </w:p>
    <w:p>
      <w:pPr>
        <w:pStyle w:val="Heading3"/>
        <w:spacing w:before="120" w:after="80"/>
      </w:pPr>
      <w:r>
        <w:rPr>
          <w:rFonts w:ascii="SimHei" w:hAnsi="SimHei" w:eastAsia="SimHei"/>
          <w:color w:val="000000"/>
          <w:sz w:val="24"/>
        </w:rPr>
        <w:t>效果二 —— 参考模型不描述现场环境时仍可运行，但代价须如实写明</w:t>
      </w:r>
    </w:p>
    <w:p>
      <w:pPr>
        <w:spacing w:after="80"/>
        <w:jc w:val="both"/>
      </w:pPr>
      <w:r>
        <w:rPr>
          <w:rFonts w:ascii="SimSun" w:hAnsi="SimSun" w:eastAsia="SimSun"/>
        </w:rPr>
        <w:t>参考模型只描述目标表面（P0）时，相对完整环境先验：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面积加权恢复</w:t>
            </w:r>
          </w:p>
        </w:tc>
        <w:tc>
          <w:tcPr>
            <w:tcW w:type="dxa" w:w="2880"/>
          </w:tcPr>
          <w:p>
            <w:pPr>
              <w:spacing w:before="20" w:after="20"/>
            </w:pPr>
            <w:r>
              <w:rPr>
                <w:rFonts w:ascii="SimSun" w:hAnsi="SimSun" w:eastAsia="SimSun"/>
                <w:b/>
                <w:sz w:val="17"/>
              </w:rPr>
              <w:t>资产级恢复</w:t>
            </w:r>
          </w:p>
        </w:tc>
      </w:tr>
      <w:tr>
        <w:tc>
          <w:tcPr>
            <w:tcW w:type="dxa" w:w="2880"/>
          </w:tcPr>
          <w:p>
            <w:pPr>
              <w:spacing w:before="20" w:after="20"/>
            </w:pPr>
            <w:r>
              <w:rPr>
                <w:rFonts w:ascii="SimSun" w:hAnsi="SimSun" w:eastAsia="SimSun"/>
                <w:b/>
                <w:sz w:val="17"/>
              </w:rPr>
              <w:t>不开</w:t>
            </w:r>
            <w:r>
              <w:rPr>
                <w:rFonts w:ascii="SimSun" w:hAnsi="SimSun" w:eastAsia="SimSun"/>
                <w:sz w:val="17"/>
              </w:rPr>
              <w:t>在线环境更新</w:t>
            </w:r>
          </w:p>
        </w:tc>
        <w:tc>
          <w:tcPr>
            <w:tcW w:type="dxa" w:w="2880"/>
          </w:tcPr>
          <w:p>
            <w:pPr>
              <w:spacing w:before="20" w:after="20"/>
            </w:pPr>
            <w:r>
              <w:rPr>
                <w:rFonts w:ascii="SimSun" w:hAnsi="SimSun" w:eastAsia="SimSun"/>
                <w:sz w:val="17"/>
              </w:rPr>
              <w:t>−0.067（p_holm 0.0016）</w:t>
            </w:r>
          </w:p>
        </w:tc>
        <w:tc>
          <w:tcPr>
            <w:tcW w:type="dxa" w:w="2880"/>
          </w:tcPr>
          <w:p>
            <w:pPr>
              <w:spacing w:before="20" w:after="20"/>
            </w:pPr>
            <w:r>
              <w:rPr>
                <w:rFonts w:ascii="SimSun" w:hAnsi="SimSun" w:eastAsia="SimSun"/>
                <w:sz w:val="17"/>
              </w:rPr>
              <w:t>−0.096（p_holm 0.0075）</w:t>
            </w:r>
          </w:p>
        </w:tc>
      </w:tr>
      <w:tr>
        <w:tc>
          <w:tcPr>
            <w:tcW w:type="dxa" w:w="2880"/>
          </w:tcPr>
          <w:p>
            <w:pPr>
              <w:spacing w:before="20" w:after="20"/>
            </w:pPr>
            <w:r>
              <w:rPr>
                <w:rFonts w:ascii="SimSun" w:hAnsi="SimSun" w:eastAsia="SimSun"/>
                <w:b/>
                <w:sz w:val="17"/>
              </w:rPr>
              <w:t>开</w:t>
            </w:r>
            <w:r>
              <w:rPr>
                <w:rFonts w:ascii="SimSun" w:hAnsi="SimSun" w:eastAsia="SimSun"/>
                <w:sz w:val="17"/>
              </w:rPr>
              <w:t>在线环境更新</w:t>
            </w:r>
          </w:p>
        </w:tc>
        <w:tc>
          <w:tcPr>
            <w:tcW w:type="dxa" w:w="2880"/>
          </w:tcPr>
          <w:p>
            <w:pPr>
              <w:spacing w:before="20" w:after="20"/>
            </w:pPr>
            <w:r>
              <w:rPr>
                <w:rFonts w:ascii="SimSun" w:hAnsi="SimSun" w:eastAsia="SimSun"/>
                <w:sz w:val="17"/>
              </w:rPr>
              <w:t>−0.003（p_holm 1.0000）</w:t>
            </w:r>
          </w:p>
        </w:tc>
        <w:tc>
          <w:tcPr>
            <w:tcW w:type="dxa" w:w="2880"/>
          </w:tcPr>
          <w:p>
            <w:pPr>
              <w:spacing w:before="20" w:after="20"/>
            </w:pPr>
            <w:r>
              <w:rPr>
                <w:rFonts w:ascii="SimSun" w:hAnsi="SimSun" w:eastAsia="SimSun"/>
                <w:sz w:val="17"/>
              </w:rPr>
              <w:t>−0.027（p_holm 0.0464）</w:t>
            </w:r>
          </w:p>
        </w:tc>
      </w:tr>
    </w:tbl>
    <w:p/>
    <w:p>
      <w:pPr>
        <w:spacing w:after="80"/>
        <w:jc w:val="both"/>
      </w:pPr>
      <w:r>
        <w:rPr>
          <w:rFonts w:ascii="SimSun" w:hAnsi="SimSun" w:eastAsia="SimSun"/>
        </w:rPr>
        <w:t>240 次运行</w:t>
      </w:r>
      <w:r>
        <w:rPr>
          <w:rFonts w:ascii="SimSun" w:hAnsi="SimSun" w:eastAsia="SimSun"/>
          <w:b/>
        </w:rPr>
        <w:t>全部正常用满轮次</w:t>
      </w:r>
      <w:r>
        <w:rPr>
          <w:rFonts w:ascii="SimSun" w:hAnsi="SimSun" w:eastAsia="SimSun"/>
        </w:rPr>
        <w:t>，无一因候选池枯竭提前终止。</w:t>
      </w:r>
    </w:p>
    <w:p>
      <w:pPr>
        <w:ind w:left="360"/>
      </w:pPr>
      <w:r>
        <w:rPr>
          <w:rFonts w:ascii="SimSun" w:hAnsi="SimSun" w:eastAsia="SimSun"/>
          <w:i/>
        </w:rPr>
        <w:t>可写：现场环境几何完全未被参考模型描述时，本方法仍能在预算内完成全部补充扫描</w:t>
      </w:r>
    </w:p>
    <w:p>
      <w:pPr>
        <w:ind w:left="360"/>
      </w:pPr>
      <w:r>
        <w:rPr>
          <w:rFonts w:ascii="SimSun" w:hAnsi="SimSun" w:eastAsia="SimSun"/>
          <w:i/>
        </w:rPr>
        <w:t>轮次；配合在线环境更新，面积加权缺口恢复率相对完整先验条件无显著差异，资产级</w:t>
      </w:r>
    </w:p>
    <w:p>
      <w:pPr>
        <w:ind w:left="360"/>
      </w:pPr>
      <w:r>
        <w:rPr>
          <w:rFonts w:ascii="SimSun" w:hAnsi="SimSun" w:eastAsia="SimSun"/>
          <w:i/>
        </w:rPr>
        <w:t>恢复率下降 0.027。</w:t>
      </w:r>
    </w:p>
    <w:p>
      <w:pPr>
        <w:ind w:left="360"/>
      </w:pPr>
      <w:r>
        <w:rPr>
          <w:rFonts w:ascii="SimSun" w:hAnsi="SimSun" w:eastAsia="SimSun"/>
          <w:b/>
          <w:i/>
        </w:rPr>
        <w:t>不可写</w:t>
      </w:r>
      <w:r>
        <w:rPr>
          <w:rFonts w:ascii="SimSun" w:hAnsi="SimSun" w:eastAsia="SimSun"/>
          <w:i/>
        </w:rPr>
        <w:t>：「无性能损失」——资产级的 0.027 已达显著（p=0.046）。</w:t>
      </w:r>
    </w:p>
    <w:p>
      <w:pPr>
        <w:pStyle w:val="Heading3"/>
        <w:spacing w:before="120" w:after="80"/>
      </w:pPr>
      <w:r>
        <w:rPr>
          <w:rFonts w:ascii="SimHei" w:hAnsi="SimHei" w:eastAsia="SimHei"/>
          <w:color w:val="000000"/>
          <w:sz w:val="24"/>
        </w:rPr>
        <w:t>效果三 —— 在线环境更新的价值随参考模型描述环境的程度减弱而增大</w:t>
      </w:r>
    </w:p>
    <w:p>
      <w:pPr>
        <w:spacing w:after="80"/>
        <w:jc w:val="both"/>
      </w:pPr>
      <w:r>
        <w:rPr>
          <w:rFonts w:ascii="Consolas" w:hAnsi="Consolas" w:eastAsia="Consolas"/>
          <w:sz w:val="18"/>
        </w:rPr>
        <w:t>B11 − B10</w:t>
      </w:r>
      <w:r>
        <w:rPr>
          <w:rFonts w:ascii="SimSun" w:hAnsi="SimSun" w:eastAsia="SimSun"/>
        </w:rPr>
        <w:t xml:space="preserve"> 的资产恢复增益：P100 </w:t>
      </w:r>
      <w:r>
        <w:rPr>
          <w:rFonts w:ascii="SimSun" w:hAnsi="SimSun" w:eastAsia="SimSun"/>
          <w:b/>
        </w:rPr>
        <w:t>+0.012</w:t>
      </w:r>
      <w:r>
        <w:rPr>
          <w:rFonts w:ascii="SimSun" w:hAnsi="SimSun" w:eastAsia="SimSun"/>
        </w:rPr>
        <w:t xml:space="preserve"> → P75 +0.045 → P50 +0.061 →P0 </w:t>
      </w:r>
      <w:r>
        <w:rPr>
          <w:rFonts w:ascii="SimSun" w:hAnsi="SimSun" w:eastAsia="SimSun"/>
          <w:b/>
        </w:rPr>
        <w:t>+0.092</w:t>
      </w:r>
      <w:r>
        <w:rPr>
          <w:rFonts w:ascii="SimSun" w:hAnsi="SimSun" w:eastAsia="SimSun"/>
        </w:rPr>
        <w:t>（p_holm 0.0117）；面积加权 +0.010 → +0.073（p_holm 0.0030）。可见性单向高估在</w:t>
      </w:r>
      <w:r>
        <w:rPr>
          <w:rFonts w:ascii="SimSun" w:hAnsi="SimSun" w:eastAsia="SimSun"/>
          <w:b/>
        </w:rPr>
        <w:t>全部五档</w:t>
      </w:r>
      <w:r>
        <w:rPr>
          <w:rFonts w:ascii="SimSun" w:hAnsi="SimSun" w:eastAsia="SimSun"/>
        </w:rPr>
        <w:t>由 0.062–0.081 降至 0.002（p_holm 全为 0.0020）。</w:t>
      </w:r>
    </w:p>
    <w:p>
      <w:pPr>
        <w:ind w:left="360"/>
      </w:pPr>
      <w:r>
        <w:rPr>
          <w:rFonts w:ascii="SimSun" w:hAnsi="SimSun" w:eastAsia="SimSun"/>
          <w:i/>
        </w:rPr>
        <w:t>可写：在线环境更新在各先验强度下均将可见性单向高估降至 0.002；其对最终恢复率的</w:t>
      </w:r>
    </w:p>
    <w:p>
      <w:pPr>
        <w:ind w:left="360"/>
      </w:pPr>
      <w:r>
        <w:rPr>
          <w:rFonts w:ascii="SimSun" w:hAnsi="SimSun" w:eastAsia="SimSun"/>
          <w:i/>
        </w:rPr>
        <w:t>增益随参考模型所描述环境几何的减少而增大，自 +0.012 增至 +0.092。</w:t>
      </w:r>
    </w:p>
    <w:p>
      <w:pPr>
        <w:ind w:left="360"/>
      </w:pPr>
      <w:r>
        <w:rPr>
          <w:rFonts w:ascii="SimSun" w:hAnsi="SimSun" w:eastAsia="SimSun"/>
          <w:b/>
          <w:i/>
        </w:rPr>
        <w:t>不可写</w:t>
      </w:r>
      <w:r>
        <w:rPr>
          <w:rFonts w:ascii="SimSun" w:hAnsi="SimSun" w:eastAsia="SimSun"/>
          <w:i/>
        </w:rPr>
        <w:t>：「在线发现总能显著提升恢复率」—— P100/P75/P50 三档的资产增益</w:t>
      </w:r>
    </w:p>
    <w:p>
      <w:pPr>
        <w:ind w:left="360"/>
      </w:pPr>
      <w:r>
        <w:rPr>
          <w:rFonts w:ascii="SimSun" w:hAnsi="SimSun" w:eastAsia="SimSun"/>
          <w:i/>
        </w:rPr>
        <w:t>p_holm 分别为 0.47 / 0.14 / 0.09，未达显著。</w:t>
      </w:r>
    </w:p>
    <w:p>
      <w:pPr>
        <w:pStyle w:val="Heading3"/>
        <w:spacing w:before="120" w:after="80"/>
      </w:pPr>
      <w:r>
        <w:rPr>
          <w:rFonts w:ascii="SimHei" w:hAnsi="SimHei" w:eastAsia="SimHei"/>
          <w:color w:val="000000"/>
          <w:sz w:val="24"/>
        </w:rPr>
        <w:t>效果四 —— 与探索式站位选择优化的不是同一个量</w:t>
      </w:r>
    </w:p>
    <w:p>
      <w:pPr>
        <w:spacing w:after="80"/>
        <w:jc w:val="both"/>
      </w:pPr>
      <w:r>
        <w:rPr>
          <w:rFonts w:ascii="SimSun" w:hAnsi="SimSun" w:eastAsia="SimSun"/>
        </w:rPr>
        <w:t>同平台、同传感器、同预算、</w:t>
      </w:r>
      <w:r>
        <w:rPr>
          <w:rFonts w:ascii="SimSun" w:hAnsi="SimSun" w:eastAsia="SimSun"/>
          <w:b/>
        </w:rPr>
        <w:t>相同站数（均 6 站）</w:t>
      </w:r>
      <w:r>
        <w:rPr>
          <w:rFonts w:ascii="SimSun" w:hAnsi="SimSun" w:eastAsia="SimSun"/>
        </w:rPr>
        <w:t>下（P0）：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探索式（frontier）</w:t>
            </w:r>
          </w:p>
        </w:tc>
        <w:tc>
          <w:tcPr>
            <w:tcW w:type="dxa" w:w="2880"/>
          </w:tcPr>
          <w:p>
            <w:pPr>
              <w:spacing w:before="20" w:after="20"/>
            </w:pPr>
            <w:r>
              <w:rPr>
                <w:rFonts w:ascii="SimSun" w:hAnsi="SimSun" w:eastAsia="SimSun"/>
                <w:b/>
                <w:sz w:val="17"/>
              </w:rPr>
              <w:t>本方法</w:t>
            </w:r>
          </w:p>
        </w:tc>
      </w:tr>
      <w:tr>
        <w:tc>
          <w:tcPr>
            <w:tcW w:type="dxa" w:w="2880"/>
          </w:tcPr>
          <w:p>
            <w:pPr>
              <w:spacing w:before="20" w:after="20"/>
            </w:pPr>
            <w:r>
              <w:rPr>
                <w:rFonts w:ascii="SimSun" w:hAnsi="SimSun" w:eastAsia="SimSun"/>
                <w:sz w:val="17"/>
              </w:rPr>
              <w:t>地图覆盖</w:t>
            </w:r>
          </w:p>
        </w:tc>
        <w:tc>
          <w:tcPr>
            <w:tcW w:type="dxa" w:w="2880"/>
          </w:tcPr>
          <w:p>
            <w:pPr>
              <w:spacing w:before="20" w:after="20"/>
            </w:pPr>
            <w:r>
              <w:rPr>
                <w:rFonts w:ascii="SimSun" w:hAnsi="SimSun" w:eastAsia="SimSun"/>
                <w:b/>
                <w:sz w:val="17"/>
              </w:rPr>
              <w:t>0.952</w:t>
            </w:r>
          </w:p>
        </w:tc>
        <w:tc>
          <w:tcPr>
            <w:tcW w:type="dxa" w:w="2880"/>
          </w:tcPr>
          <w:p>
            <w:pPr>
              <w:spacing w:before="20" w:after="20"/>
            </w:pPr>
            <w:r>
              <w:rPr>
                <w:rFonts w:ascii="SimSun" w:hAnsi="SimSun" w:eastAsia="SimSun"/>
                <w:sz w:val="17"/>
              </w:rPr>
              <w:t>0.949</w:t>
            </w:r>
          </w:p>
        </w:tc>
      </w:tr>
      <w:tr>
        <w:tc>
          <w:tcPr>
            <w:tcW w:type="dxa" w:w="2880"/>
          </w:tcPr>
          <w:p>
            <w:pPr>
              <w:spacing w:before="20" w:after="20"/>
            </w:pPr>
            <w:r>
              <w:rPr>
                <w:rFonts w:ascii="SimSun" w:hAnsi="SimSun" w:eastAsia="SimSun"/>
                <w:sz w:val="17"/>
              </w:rPr>
              <w:t>资产级恢复</w:t>
            </w:r>
          </w:p>
        </w:tc>
        <w:tc>
          <w:tcPr>
            <w:tcW w:type="dxa" w:w="2880"/>
          </w:tcPr>
          <w:p>
            <w:pPr>
              <w:spacing w:before="20" w:after="20"/>
            </w:pPr>
            <w:r>
              <w:rPr>
                <w:rFonts w:ascii="SimSun" w:hAnsi="SimSun" w:eastAsia="SimSun"/>
                <w:sz w:val="17"/>
              </w:rPr>
              <w:t>0.523</w:t>
            </w:r>
          </w:p>
        </w:tc>
        <w:tc>
          <w:tcPr>
            <w:tcW w:type="dxa" w:w="2880"/>
          </w:tcPr>
          <w:p>
            <w:pPr>
              <w:spacing w:before="20" w:after="20"/>
            </w:pPr>
            <w:r>
              <w:rPr>
                <w:rFonts w:ascii="SimSun" w:hAnsi="SimSun" w:eastAsia="SimSun"/>
                <w:b/>
                <w:sz w:val="17"/>
              </w:rPr>
              <w:t>0.922</w:t>
            </w:r>
          </w:p>
        </w:tc>
      </w:tr>
      <w:tr>
        <w:tc>
          <w:tcPr>
            <w:tcW w:type="dxa" w:w="2880"/>
          </w:tcPr>
          <w:p>
            <w:pPr>
              <w:spacing w:before="20" w:after="20"/>
            </w:pPr>
            <w:r>
              <w:rPr>
                <w:rFonts w:ascii="SimSun" w:hAnsi="SimSun" w:eastAsia="SimSun"/>
                <w:sz w:val="17"/>
              </w:rPr>
              <w:t>路径长度</w:t>
            </w:r>
          </w:p>
        </w:tc>
        <w:tc>
          <w:tcPr>
            <w:tcW w:type="dxa" w:w="2880"/>
          </w:tcPr>
          <w:p>
            <w:pPr>
              <w:spacing w:before="20" w:after="20"/>
            </w:pPr>
            <w:r>
              <w:rPr>
                <w:rFonts w:ascii="SimSun" w:hAnsi="SimSun" w:eastAsia="SimSun"/>
                <w:sz w:val="17"/>
              </w:rPr>
              <w:t>166.0 m</w:t>
            </w:r>
          </w:p>
        </w:tc>
        <w:tc>
          <w:tcPr>
            <w:tcW w:type="dxa" w:w="2880"/>
          </w:tcPr>
          <w:p>
            <w:pPr>
              <w:spacing w:before="20" w:after="20"/>
            </w:pPr>
            <w:r>
              <w:rPr>
                <w:rFonts w:ascii="SimSun" w:hAnsi="SimSun" w:eastAsia="SimSun"/>
                <w:b/>
                <w:sz w:val="17"/>
              </w:rPr>
              <w:t>155.5 m</w:t>
            </w:r>
          </w:p>
        </w:tc>
      </w:tr>
    </w:tbl>
    <w:p/>
    <w:p>
      <w:pPr>
        <w:ind w:left="360"/>
      </w:pPr>
      <w:r>
        <w:rPr>
          <w:rFonts w:ascii="SimSun" w:hAnsi="SimSun" w:eastAsia="SimSun"/>
          <w:i/>
        </w:rPr>
        <w:t>可写：在相同站数与预算下，按任务缺口计价的站位选择所恢复的资产级覆盖较按地图</w:t>
      </w:r>
    </w:p>
    <w:p>
      <w:pPr>
        <w:ind w:left="360"/>
      </w:pPr>
      <w:r>
        <w:rPr>
          <w:rFonts w:ascii="SimSun" w:hAnsi="SimSun" w:eastAsia="SimSun"/>
          <w:i/>
        </w:rPr>
        <w:t>信息增益计价的探索式选择高 0.40（p_holm 0.0040），且路径更短。</w:t>
      </w:r>
    </w:p>
    <w:p>
      <w:pPr>
        <w:ind w:left="360"/>
      </w:pPr>
      <w:r>
        <w:rPr>
          <w:rFonts w:ascii="SimSun" w:hAnsi="SimSun" w:eastAsia="SimSun"/>
          <w:b/>
          <w:i/>
        </w:rPr>
        <w:t>必须一并写明</w:t>
      </w:r>
      <w:r>
        <w:rPr>
          <w:rFonts w:ascii="SimSun" w:hAnsi="SimSun" w:eastAsia="SimSun"/>
          <w:i/>
        </w:rPr>
        <w:t>：地图覆盖上探索式方法略高（0.952 对 0.949，p_holm 0.0252），</w:t>
      </w:r>
    </w:p>
    <w:p>
      <w:pPr>
        <w:ind w:left="360"/>
      </w:pPr>
      <w:r>
        <w:rPr>
          <w:rFonts w:ascii="SimSun" w:hAnsi="SimSun" w:eastAsia="SimSun"/>
          <w:i/>
        </w:rPr>
        <w:t>该项是其目标函数所在，不得省略，也不得表述为本方法的缺陷（§12 禁止项 8）。</w:t>
      </w:r>
    </w:p>
    <w:p>
      <w:pPr>
        <w:pStyle w:val="Heading3"/>
        <w:spacing w:before="120" w:after="80"/>
      </w:pPr>
      <w:r>
        <w:rPr>
          <w:rFonts w:ascii="SimHei" w:hAnsi="SimHei" w:eastAsia="SimHei"/>
          <w:color w:val="000000"/>
          <w:sz w:val="24"/>
        </w:rPr>
        <w:t>一并写入的边界</w:t>
      </w:r>
    </w:p>
    <w:p>
      <w:pPr>
        <w:pStyle w:val="ListBullet"/>
        <w:ind w:left="360"/>
      </w:pPr>
      <w:r>
        <w:rPr>
          <w:rFonts w:ascii="SimSun" w:hAnsi="SimSun" w:eastAsia="SimSun"/>
        </w:rPr>
        <w:t>真实建筑（CRAS）的 IFC 中</w:t>
      </w:r>
      <w:r>
        <w:rPr>
          <w:rFonts w:ascii="SimSun" w:hAnsi="SimSun" w:eastAsia="SimSun"/>
          <w:b/>
        </w:rPr>
        <w:t>不存在非目标环境构件</w:t>
      </w:r>
      <w:r>
        <w:rPr>
          <w:rFonts w:ascii="SimSun" w:hAnsi="SimSun" w:eastAsia="SimSun"/>
        </w:rPr>
        <w:t>（实测 256 个构件全部为目标类），遮挡先验强度这一轴在真实数据上退化，真实数据只能支持通行侧的结论。</w:t>
      </w:r>
      <w:r>
        <w:rPr>
          <w:rFonts w:ascii="SimSun" w:hAnsi="SimSun" w:eastAsia="SimSun"/>
          <w:b/>
        </w:rPr>
        <w:t>[A]</w:t>
      </w:r>
    </w:p>
    <w:p>
      <w:pPr>
        <w:pStyle w:val="ListBullet"/>
        <w:ind w:left="360"/>
      </w:pPr>
      <w:r>
        <w:rPr>
          <w:rFonts w:ascii="SimSun" w:hAnsi="SimSun" w:eastAsia="SimSun"/>
        </w:rPr>
        <w:t xml:space="preserve">合成变电站中可移除的非目标环境几何按三角面计只占 </w:t>
      </w:r>
      <w:r>
        <w:rPr>
          <w:rFonts w:ascii="SimSun" w:hAnsi="SimSun" w:eastAsia="SimSun"/>
          <w:b/>
        </w:rPr>
        <w:t>3.6–5.3%</w:t>
      </w:r>
      <w:r>
        <w:rPr>
          <w:rFonts w:ascii="SimSun" w:hAnsi="SimSun" w:eastAsia="SimSun"/>
        </w:rPr>
        <w:t xml:space="preserve"> —— 变电站里遮挡设备的主要是</w:t>
      </w:r>
      <w:r>
        <w:rPr>
          <w:rFonts w:ascii="SimSun" w:hAnsi="SimSun" w:eastAsia="SimSun"/>
          <w:b/>
        </w:rPr>
        <w:t>其他设备</w:t>
      </w:r>
      <w:r>
        <w:rPr>
          <w:rFonts w:ascii="SimSun" w:hAnsi="SimSun" w:eastAsia="SimSun"/>
        </w:rPr>
        <w:t>，而设备本身就是目标。上述 0.096 的代价是在这个比例下测得的，</w:t>
      </w:r>
      <w:r>
        <w:rPr>
          <w:rFonts w:ascii="SimSun" w:hAnsi="SimSun" w:eastAsia="SimSun"/>
          <w:b/>
        </w:rPr>
        <w:t>不得外推</w:t>
      </w:r>
      <w:r>
        <w:rPr>
          <w:rFonts w:ascii="SimSun" w:hAnsi="SimSun" w:eastAsia="SimSun"/>
        </w:rPr>
        <w:t>到非目标环境更多的场景。</w:t>
      </w:r>
      <w:r>
        <w:rPr>
          <w:rFonts w:ascii="SimSun" w:hAnsi="SimSun" w:eastAsia="SimSun"/>
          <w:b/>
        </w:rPr>
        <w:t>[A]</w:t>
      </w:r>
    </w:p>
    <w:p>
      <w:pPr>
        <w:pStyle w:val="ListBullet"/>
        <w:ind w:left="360"/>
      </w:pPr>
      <w:r>
        <w:rPr>
          <w:rFonts w:ascii="SimSun" w:hAnsi="SimSun" w:eastAsia="SimSun"/>
        </w:rPr>
        <w:t>E3b 先前「在线发现对恢复率的增益不显著（p=0.50）」的结论</w:t>
      </w:r>
      <w:r>
        <w:rPr>
          <w:rFonts w:ascii="SimSun" w:hAnsi="SimSun" w:eastAsia="SimSun"/>
          <w:b/>
        </w:rPr>
        <w:t>保持不变</w:t>
      </w:r>
      <w:r>
        <w:rPr>
          <w:rFonts w:ascii="SimSun" w:hAnsi="SimSun" w:eastAsia="SimSun"/>
        </w:rPr>
        <w:t>，不得改写。E7 说明的是二者测量的先验条件不同（E3b 为完整环境先验、15 组配对、旧目标集口径）。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