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技术方案疑问答复（</w:t>
      </w:r>
      <w:r>
        <w:rPr/>
        <w:t xml:space="preserve">2026-07-28 </w:t>
      </w:r>
      <w:r>
        <w:rPr/>
        <w:t>批注）</w:t>
      </w:r>
    </w:p>
    <w:p>
      <w:pPr>
        <w:pStyle w:val="BodyText"/>
        <w:bidi w:val="0"/>
        <w:jc w:val="left"/>
        <w:rPr/>
      </w:pPr>
      <w:r>
        <w:rPr/>
        <w:t>答复对象：《技术方案疑问</w:t>
      </w:r>
      <w:r>
        <w:rPr/>
        <w:t>-</w:t>
      </w:r>
      <w:r>
        <w:rPr/>
        <w:t>建筑点云缺口检测及补充扫描视点规划</w:t>
      </w:r>
      <w:r>
        <w:rPr/>
        <w:t>-0728.docx</w:t>
      </w:r>
      <w:r>
        <w:rPr/>
        <w:t xml:space="preserve">》全部 </w:t>
      </w:r>
      <w:r>
        <w:rPr/>
        <w:t xml:space="preserve">11 </w:t>
      </w:r>
      <w:r>
        <w:rPr/>
        <w:t>条批注 修订稿：</w:t>
      </w:r>
      <w:r>
        <w:rPr>
          <w:rStyle w:val="SourceText"/>
        </w:rPr>
        <w:t>建筑点云缺口检测及补充扫描视点规划</w:t>
      </w:r>
      <w:r>
        <w:rPr>
          <w:rStyle w:val="SourceText"/>
        </w:rPr>
        <w:t>_</w:t>
      </w:r>
      <w:r>
        <w:rPr>
          <w:rStyle w:val="SourceText"/>
        </w:rPr>
        <w:t>中国发明专利最终整合版</w:t>
      </w:r>
      <w:r>
        <w:rPr>
          <w:rStyle w:val="SourceText"/>
        </w:rPr>
        <w:t>_</w:t>
      </w:r>
      <w:r>
        <w:rPr>
          <w:rStyle w:val="SourceText"/>
        </w:rPr>
        <w:t>反馈修订</w:t>
      </w:r>
      <w:r>
        <w:rPr>
          <w:rStyle w:val="SourceText"/>
        </w:rPr>
        <w:t>.docx</w:t>
      </w:r>
      <w:r>
        <w:rPr/>
        <w:t xml:space="preserve"> </w:t>
      </w:r>
      <w:r>
        <w:rPr/>
        <w:t>附图原文件：</w:t>
      </w:r>
      <w:r>
        <w:rPr>
          <w:rStyle w:val="SourceText"/>
        </w:rPr>
        <w:t>附图原文件</w:t>
      </w:r>
      <w:r>
        <w:rPr>
          <w:rStyle w:val="SourceText"/>
        </w:rPr>
        <w:t>/</w:t>
      </w:r>
      <w:r>
        <w:rPr/>
        <w:t>（</w:t>
      </w:r>
      <w:r>
        <w:rPr/>
        <w:t xml:space="preserve">13 </w:t>
      </w:r>
      <w:r>
        <w:rPr/>
        <w:t>张，其中图</w:t>
      </w:r>
      <w:r>
        <w:rPr/>
        <w:t>4</w:t>
      </w:r>
      <w:r>
        <w:rPr/>
        <w:t>、图</w:t>
      </w:r>
      <w:r>
        <w:rPr/>
        <w:t>5</w:t>
      </w:r>
      <w:r>
        <w:rPr/>
        <w:t>、图</w:t>
      </w:r>
      <w:r>
        <w:rPr/>
        <w:t xml:space="preserve">8 </w:t>
      </w:r>
      <w:r>
        <w:rPr/>
        <w:t>为本次重画）</w:t>
      </w:r>
    </w:p>
    <w:p>
      <w:pPr>
        <w:pStyle w:val="BodyText"/>
        <w:bidi w:val="0"/>
        <w:jc w:val="left"/>
        <w:rPr/>
      </w:pPr>
      <w:r>
        <w:rPr/>
        <w:t>说明：</w:t>
      </w:r>
      <w:r>
        <w:rPr/>
        <w:t xml:space="preserve">11 </w:t>
      </w:r>
      <w:r>
        <w:rPr/>
        <w:t>条批注均已在修订稿中落实。以下逐条给出</w:t>
      </w:r>
      <w:r>
        <w:rPr>
          <w:rStyle w:val="Strong"/>
        </w:rPr>
        <w:t>直接答复</w:t>
      </w:r>
      <w:r>
        <w:rPr/>
        <w:t>（回答问题本身）与</w:t>
      </w:r>
      <w:r>
        <w:rPr>
          <w:rStyle w:val="Strong"/>
        </w:rPr>
        <w:t>修改说明</w:t>
      </w:r>
      <w:r>
        <w:rPr/>
        <w:t>（在稿中如何落实）。</w:t>
      </w:r>
    </w:p>
    <w:p>
      <w:pPr>
        <w:pStyle w:val="HorizontalLine"/>
        <w:bidi w:val="0"/>
        <w:jc w:val="left"/>
        <w:rPr/>
      </w:pPr>
      <w:r>
        <w:rPr/>
      </w:r>
    </w:p>
    <w:p>
      <w:pPr>
        <w:pStyle w:val="Heading2"/>
        <w:bidi w:val="0"/>
        <w:jc w:val="left"/>
        <w:rPr/>
      </w:pPr>
      <w:r>
        <w:rPr/>
        <w:t xml:space="preserve">一、权利要求 </w:t>
      </w:r>
      <w:r>
        <w:rPr/>
        <w:t xml:space="preserve">1 </w:t>
      </w:r>
      <w:r>
        <w:rPr/>
        <w:t xml:space="preserve">措辞（批注 </w:t>
      </w:r>
      <w:r>
        <w:rPr/>
        <w:t>0</w:t>
      </w:r>
      <w:r>
        <w:rPr/>
        <w:t>～</w:t>
      </w:r>
      <w:r>
        <w:rPr/>
        <w:t>4</w:t>
      </w:r>
      <w:r>
        <w:rPr/>
        <w:t>）</w:t>
      </w:r>
    </w:p>
    <w:p>
      <w:pPr>
        <w:pStyle w:val="Heading3"/>
        <w:bidi w:val="0"/>
        <w:jc w:val="left"/>
        <w:rPr/>
      </w:pPr>
      <w:r>
        <w:rPr/>
        <w:t xml:space="preserve">批注 </w:t>
      </w:r>
      <w:r>
        <w:rPr/>
        <w:t>0</w:t>
      </w:r>
      <w:r>
        <w:rPr/>
        <w:t>：候选邻接三角面是属于三角面，还是属于种子三角面？</w:t>
      </w:r>
    </w:p>
    <w:p>
      <w:pPr>
        <w:pStyle w:val="BodyText"/>
        <w:bidi w:val="0"/>
        <w:jc w:val="left"/>
        <w:rPr/>
      </w:pPr>
      <w:r>
        <w:rPr>
          <w:rStyle w:val="Strong"/>
        </w:rPr>
        <w:t>答复</w:t>
      </w:r>
      <w:r>
        <w:rPr/>
        <w:t>：两者都是三角面，</w:t>
      </w:r>
      <w:r>
        <w:rPr/>
        <w:t>"</w:t>
      </w:r>
      <w:r>
        <w:rPr/>
        <w:t>种子三角面</w:t>
      </w:r>
      <w:r>
        <w:rPr/>
        <w:t>"</w:t>
      </w:r>
      <w:r>
        <w:rPr/>
        <w:t>与</w:t>
      </w:r>
      <w:r>
        <w:rPr/>
        <w:t>"</w:t>
      </w:r>
      <w:r>
        <w:rPr/>
        <w:t>候选邻接三角面</w:t>
      </w:r>
      <w:r>
        <w:rPr/>
        <w:t>"</w:t>
      </w:r>
      <w:r>
        <w:rPr/>
        <w:t>是同一构件内的三角面在区域生长过程中承担的</w:t>
      </w:r>
      <w:r>
        <w:rPr>
          <w:rStyle w:val="Strong"/>
        </w:rPr>
        <w:t>两种不同角色</w:t>
      </w:r>
      <w:r>
        <w:rPr/>
        <w:t>，不是两类不同的对象。</w:t>
      </w:r>
    </w:p>
    <w:p>
      <w:pPr>
        <w:pStyle w:val="BodyText"/>
        <w:bidi w:val="0"/>
        <w:jc w:val="left"/>
        <w:rPr/>
      </w:pPr>
      <w:r>
        <w:rPr/>
        <w:t>具体过程为：在一个构件内部</w:t>
      </w:r>
      <w:r>
        <w:rPr>
          <w:rStyle w:val="Strong"/>
        </w:rPr>
        <w:t>先选取一个</w:t>
      </w:r>
      <w:r>
        <w:rPr/>
        <w:t>三角面作为种子三角面，用它初始化一个</w:t>
      </w:r>
      <w:r>
        <w:rPr/>
        <w:t>"</w:t>
      </w:r>
      <w:r>
        <w:rPr/>
        <w:t>正在生长的区域</w:t>
      </w:r>
      <w:r>
        <w:rPr/>
        <w:t>"</w:t>
      </w:r>
      <w:r>
        <w:rPr/>
        <w:t>；随后把与该区域内三角面共享边的其他三角面作为</w:t>
      </w:r>
      <w:r>
        <w:rPr/>
        <w:t>"</w:t>
      </w:r>
      <w:r>
        <w:rPr/>
        <w:t>候选邻接三角面</w:t>
      </w:r>
      <w:r>
        <w:rPr/>
        <w:t>"</w:t>
      </w:r>
      <w:r>
        <w:rPr/>
        <w:t>逐个考察，满足法向约束的并入该区域，不满足的不并入；当再没有可并入的候选邻接三角面时，该区域即固化为一个表面分块；然后在该构件内尚未归属任何表面分块的三角面中</w:t>
      </w:r>
      <w:r>
        <w:rPr>
          <w:rStyle w:val="Strong"/>
        </w:rPr>
        <w:t>再选取一个</w:t>
      </w:r>
      <w:r>
        <w:rPr/>
        <w:t>作为新的种子三角面，重复上述过程，直至该构件内的三角面全部归属完毕。因此一个构件通常会产生多个表面分块，每个表面分块各有一个种子三角面。</w:t>
      </w:r>
    </w:p>
    <w:p>
      <w:pPr>
        <w:pStyle w:val="BodyText"/>
        <w:bidi w:val="0"/>
        <w:jc w:val="left"/>
        <w:rPr/>
      </w:pPr>
      <w:r>
        <w:rPr/>
        <w:t>原稿</w:t>
      </w:r>
      <w:r>
        <w:rPr/>
        <w:t>"</w:t>
      </w:r>
      <w:r>
        <w:rPr/>
        <w:t>以三角面为种子三角面</w:t>
      </w:r>
      <w:r>
        <w:rPr/>
        <w:t>"</w:t>
      </w:r>
      <w:r>
        <w:rPr/>
        <w:t>确实可能被读成</w:t>
      </w:r>
      <w:r>
        <w:rPr/>
        <w:t>"</w:t>
      </w:r>
      <w:r>
        <w:rPr/>
        <w:t>所有三角面同时都是种子</w:t>
      </w:r>
      <w:r>
        <w:rPr/>
        <w:t>"</w:t>
      </w:r>
      <w:r>
        <w:rPr/>
        <w:t>，是撰写不严谨，已改正。</w:t>
      </w:r>
    </w:p>
    <w:p>
      <w:pPr>
        <w:pStyle w:val="BodyText"/>
        <w:bidi w:val="0"/>
        <w:jc w:val="left"/>
        <w:rPr/>
      </w:pPr>
      <w:r>
        <w:rPr>
          <w:rStyle w:val="Strong"/>
        </w:rPr>
        <w:t>修改</w:t>
      </w:r>
      <w:r>
        <w:rPr/>
        <w:t xml:space="preserve">：权利要求 </w:t>
      </w:r>
      <w:r>
        <w:rPr/>
        <w:t xml:space="preserve">1 </w:t>
      </w:r>
      <w:r>
        <w:rPr/>
        <w:t>改为——</w:t>
      </w:r>
    </w:p>
    <w:p>
      <w:pPr>
        <w:pStyle w:val="BlockQuotation"/>
        <w:bidi w:val="0"/>
        <w:jc w:val="left"/>
        <w:rPr/>
      </w:pPr>
      <w:r>
        <w:rPr/>
        <w:t>在同一构件内部，</w:t>
      </w:r>
      <w:r>
        <w:rPr>
          <w:rStyle w:val="Strong"/>
        </w:rPr>
        <w:t>选取一个三角面作为种子三角面，并以所述种子三角面初始化正在生长的区域</w:t>
      </w:r>
      <w:r>
        <w:rPr/>
        <w:t>；按共享边邻接关系确定与所述正在生长的区域相邻的候选邻接三角面，并依据法向约束确定所述候选邻接三角面是否并入所述正在生长的区域；</w:t>
      </w:r>
      <w:r>
        <w:rPr>
          <w:rStyle w:val="Strong"/>
        </w:rPr>
        <w:t>重复所述生长直至不存在满足所述法向约束的候选邻接三角面，得到一个表面分块；对该构件内尚未归入表面分块的三角面重复上述过程</w:t>
      </w:r>
      <w:r>
        <w:rPr/>
        <w:t>，由此形成多个表面分块。</w:t>
      </w:r>
    </w:p>
    <w:p>
      <w:pPr>
        <w:pStyle w:val="Heading3"/>
        <w:bidi w:val="0"/>
        <w:jc w:val="left"/>
        <w:rPr/>
      </w:pPr>
      <w:r>
        <w:rPr/>
        <w:t xml:space="preserve">批注 </w:t>
      </w:r>
      <w:r>
        <w:rPr/>
        <w:t>1</w:t>
      </w:r>
      <w:r>
        <w:rPr/>
        <w:t>：何为点云观测？是指三维点云的观测情况？</w:t>
      </w:r>
    </w:p>
    <w:p>
      <w:pPr>
        <w:pStyle w:val="BodyText"/>
        <w:bidi w:val="0"/>
        <w:jc w:val="left"/>
        <w:rPr/>
      </w:pPr>
      <w:r>
        <w:rPr>
          <w:rStyle w:val="Strong"/>
        </w:rPr>
        <w:t>答复</w:t>
      </w:r>
      <w:r>
        <w:rPr/>
        <w:t>：此处</w:t>
      </w:r>
      <w:r>
        <w:rPr/>
        <w:t>"</w:t>
      </w:r>
      <w:r>
        <w:rPr/>
        <w:t>点云观测</w:t>
      </w:r>
      <w:r>
        <w:rPr/>
        <w:t>"</w:t>
      </w:r>
      <w:r>
        <w:rPr/>
        <w:t>指的就是</w:t>
      </w:r>
      <w:r>
        <w:rPr>
          <w:rStyle w:val="Strong"/>
        </w:rPr>
        <w:t>三维点云中的点</w:t>
      </w:r>
      <w:r>
        <w:rPr/>
        <w:t>本身，原稿用词不当，容易被理解为某种</w:t>
      </w:r>
      <w:r>
        <w:rPr/>
        <w:t>"</w:t>
      </w:r>
      <w:r>
        <w:rPr/>
        <w:t>观测情况</w:t>
      </w:r>
      <w:r>
        <w:rPr/>
        <w:t>"</w:t>
      </w:r>
      <w:r>
        <w:rPr/>
        <w:t>或抽象状态。实际操作对象是点，不是状态。</w:t>
      </w:r>
    </w:p>
    <w:p>
      <w:pPr>
        <w:pStyle w:val="BodyText"/>
        <w:bidi w:val="0"/>
        <w:jc w:val="left"/>
        <w:rPr/>
      </w:pPr>
      <w:r>
        <w:rPr>
          <w:rStyle w:val="Strong"/>
        </w:rPr>
        <w:t>修改</w:t>
      </w:r>
      <w:r>
        <w:rPr/>
        <w:t xml:space="preserve">：权利要求 </w:t>
      </w:r>
      <w:r>
        <w:rPr/>
        <w:t>1</w:t>
      </w:r>
      <w:r>
        <w:rPr/>
        <w:t xml:space="preserve">、说明书 </w:t>
      </w:r>
      <w:r>
        <w:rPr/>
        <w:t xml:space="preserve">3.2 </w:t>
      </w:r>
      <w:r>
        <w:rPr/>
        <w:t xml:space="preserve">及系统权利要求 </w:t>
      </w:r>
      <w:r>
        <w:rPr/>
        <w:t xml:space="preserve">14 </w:t>
      </w:r>
      <w:r>
        <w:rPr/>
        <w:t>中的</w:t>
      </w:r>
      <w:r>
        <w:rPr/>
        <w:t>"</w:t>
      </w:r>
      <w:r>
        <w:rPr/>
        <w:t>点云观测</w:t>
      </w:r>
      <w:r>
        <w:rPr/>
        <w:t>"</w:t>
      </w:r>
      <w:r>
        <w:rPr/>
        <w:t>一律改为</w:t>
      </w:r>
      <w:r>
        <w:rPr/>
        <w:t>"</w:t>
      </w:r>
      <w:r>
        <w:rPr>
          <w:rStyle w:val="Strong"/>
        </w:rPr>
        <w:t>所述三维点云中的点</w:t>
      </w:r>
      <w:r>
        <w:rPr/>
        <w:t>"</w:t>
      </w:r>
      <w:r>
        <w:rPr/>
        <w:t>。另外，说明书公式（</w:t>
      </w:r>
      <w:r>
        <w:rPr/>
        <w:t>14</w:t>
      </w:r>
      <w:r>
        <w:rPr/>
        <w:t>）（</w:t>
      </w:r>
      <w:r>
        <w:rPr/>
        <w:t>15</w:t>
      </w:r>
      <w:r>
        <w:rPr/>
        <w:t>）处原有</w:t>
      </w:r>
      <w:r>
        <w:rPr/>
        <w:t xml:space="preserve">"S_i </w:t>
      </w:r>
      <w:r>
        <w:rPr/>
        <w:t>为点云观测语义分布</w:t>
      </w:r>
      <w:r>
        <w:rPr/>
        <w:t>"</w:t>
      </w:r>
      <w:r>
        <w:rPr/>
        <w:t xml:space="preserve">也一并改为与权利要求 </w:t>
      </w:r>
      <w:r>
        <w:rPr/>
        <w:t xml:space="preserve">10 </w:t>
      </w:r>
      <w:r>
        <w:rPr/>
        <w:t>一致的</w:t>
      </w:r>
      <w:r>
        <w:rPr/>
        <w:t>"</w:t>
      </w:r>
      <w:r>
        <w:rPr>
          <w:rStyle w:val="Strong"/>
        </w:rPr>
        <w:t>点云分类标签映射得到的语义分布</w:t>
      </w:r>
      <w:r>
        <w:rPr/>
        <w:t>"</w:t>
      </w:r>
      <w:r>
        <w:rPr/>
        <w:t>，避免同一表述再次引起歧义。全文已无</w:t>
      </w:r>
      <w:r>
        <w:rPr/>
        <w:t>"</w:t>
      </w:r>
      <w:r>
        <w:rPr/>
        <w:t>点云观测</w:t>
      </w:r>
      <w:r>
        <w:rPr/>
        <w:t>"</w:t>
      </w:r>
      <w:r>
        <w:rPr/>
        <w:t>字样。</w:t>
      </w:r>
    </w:p>
    <w:p>
      <w:pPr>
        <w:pStyle w:val="Heading3"/>
        <w:bidi w:val="0"/>
        <w:jc w:val="left"/>
        <w:rPr/>
      </w:pPr>
      <w:r>
        <w:rPr/>
        <w:t xml:space="preserve">批注 </w:t>
      </w:r>
      <w:r>
        <w:rPr/>
        <w:t>2</w:t>
      </w:r>
      <w:r>
        <w:rPr/>
        <w:t>：将什么汇总到表面分块？</w:t>
      </w:r>
    </w:p>
    <w:p>
      <w:pPr>
        <w:pStyle w:val="BodyText"/>
        <w:bidi w:val="0"/>
        <w:jc w:val="left"/>
        <w:rPr/>
      </w:pPr>
      <w:r>
        <w:rPr>
          <w:rStyle w:val="Strong"/>
        </w:rPr>
        <w:t>答复</w:t>
      </w:r>
      <w:r>
        <w:rPr/>
        <w:t>：汇总的是</w:t>
      </w:r>
      <w:r>
        <w:rPr>
          <w:rStyle w:val="Strong"/>
        </w:rPr>
        <w:t>点数</w:t>
      </w:r>
      <w:r>
        <w:rPr/>
        <w:t xml:space="preserve">，即匹配到各 </w:t>
      </w:r>
      <w:r>
        <w:rPr/>
        <w:t xml:space="preserve">IFC </w:t>
      </w:r>
      <w:r>
        <w:rPr/>
        <w:t>三角表面的点的数量。汇总依据是</w:t>
      </w:r>
      <w:r>
        <w:rPr/>
        <w:t>"</w:t>
      </w:r>
      <w:r>
        <w:rPr/>
        <w:t>三角表面与表面分块的所属关系</w:t>
      </w:r>
      <w:r>
        <w:rPr/>
        <w:t>"——</w:t>
      </w:r>
      <w:r>
        <w:rPr/>
        <w:t>每个三角面在形成表面分块时已确定其归属于哪一个表面分块，因此把匹配到各三角表面的点数按该归属关系相加，即得到每个表面分块的匹配点数。该点数是后续计算覆盖比例、点密度比例等几何证据的基础（对应公式</w:t>
      </w:r>
      <w:r>
        <w:rPr/>
        <w:t>(9)(10)</w:t>
      </w:r>
      <w:r>
        <w:rPr/>
        <w:t>与实施例</w:t>
      </w:r>
      <w:r>
        <w:rPr/>
        <w:t>2</w:t>
      </w:r>
      <w:r>
        <w:rPr/>
        <w:t>）。</w:t>
      </w:r>
    </w:p>
    <w:p>
      <w:pPr>
        <w:pStyle w:val="BodyText"/>
        <w:bidi w:val="0"/>
        <w:jc w:val="left"/>
        <w:rPr/>
      </w:pPr>
      <w:r>
        <w:rPr>
          <w:rStyle w:val="Strong"/>
        </w:rPr>
        <w:t>修改</w:t>
      </w:r>
      <w:r>
        <w:rPr/>
        <w:t xml:space="preserve">：权利要求 </w:t>
      </w:r>
      <w:r>
        <w:rPr/>
        <w:t xml:space="preserve">1 </w:t>
      </w:r>
      <w:r>
        <w:rPr/>
        <w:t>改为</w:t>
      </w:r>
      <w:r>
        <w:rPr/>
        <w:t>"……</w:t>
      </w:r>
      <w:r>
        <w:rPr>
          <w:rStyle w:val="Strong"/>
        </w:rPr>
        <w:t xml:space="preserve">并按三角表面与表面分块的所属关系，将匹配到各 </w:t>
      </w:r>
      <w:r>
        <w:rPr>
          <w:rStyle w:val="Strong"/>
        </w:rPr>
        <w:t xml:space="preserve">IFC </w:t>
      </w:r>
      <w:r>
        <w:rPr>
          <w:rStyle w:val="Strong"/>
        </w:rPr>
        <w:t>三角表面的点数汇总到对应的表面分块</w:t>
      </w:r>
      <w:r>
        <w:rPr/>
        <w:t>"</w:t>
      </w:r>
      <w:r>
        <w:rPr/>
        <w:t>。</w:t>
      </w:r>
    </w:p>
    <w:p>
      <w:pPr>
        <w:pStyle w:val="Heading3"/>
        <w:bidi w:val="0"/>
        <w:jc w:val="left"/>
        <w:rPr/>
      </w:pPr>
      <w:r>
        <w:rPr/>
        <w:t xml:space="preserve">批注 </w:t>
      </w:r>
      <w:r>
        <w:rPr/>
        <w:t>3</w:t>
      </w:r>
      <w:r>
        <w:rPr/>
        <w:t>：构件级点数统计是指三维点云的构件级点数统计？</w:t>
      </w:r>
    </w:p>
    <w:p>
      <w:pPr>
        <w:pStyle w:val="BodyText"/>
        <w:bidi w:val="0"/>
        <w:jc w:val="left"/>
        <w:rPr/>
      </w:pPr>
      <w:r>
        <w:rPr>
          <w:rStyle w:val="Strong"/>
        </w:rPr>
        <w:t>答复</w:t>
      </w:r>
      <w:r>
        <w:rPr/>
        <w:t>：是。指</w:t>
      </w:r>
      <w:r>
        <w:rPr>
          <w:rStyle w:val="Strong"/>
        </w:rPr>
        <w:t xml:space="preserve">三维点云中的点匹配到各个 </w:t>
      </w:r>
      <w:r>
        <w:rPr>
          <w:rStyle w:val="Strong"/>
        </w:rPr>
        <w:t xml:space="preserve">IFC </w:t>
      </w:r>
      <w:r>
        <w:rPr>
          <w:rStyle w:val="Strong"/>
        </w:rPr>
        <w:t>构件的点的数量统计</w:t>
      </w:r>
      <w:r>
        <w:rPr/>
        <w:t>，即以构件为单位统计有多少个点落在该构件表面附近。</w:t>
      </w:r>
    </w:p>
    <w:p>
      <w:pPr>
        <w:pStyle w:val="BodyText"/>
        <w:bidi w:val="0"/>
        <w:jc w:val="left"/>
        <w:rPr/>
      </w:pPr>
      <w:r>
        <w:rPr/>
        <w:t>设置这一路径的原因是：在部分工程数据中，点云与模型的关联结果只以构件为单位给出（例如成果数据只记录</w:t>
      </w:r>
      <w:r>
        <w:rPr/>
        <w:t>"</w:t>
      </w:r>
      <w:r>
        <w:rPr/>
        <w:t>某构件命中若干点</w:t>
      </w:r>
      <w:r>
        <w:rPr/>
        <w:t>"</w:t>
      </w:r>
      <w:r>
        <w:rPr/>
        <w:t>），拿不到逐个三角面的关联结果。此时无法直接按三角面归属汇总，只能退一步用构件级统计再分配到表面分块（对应实施例</w:t>
      </w:r>
      <w:r>
        <w:rPr/>
        <w:t xml:space="preserve">11 </w:t>
      </w:r>
      <w:r>
        <w:rPr/>
        <w:t>的真实点云诊断场景）。</w:t>
      </w:r>
    </w:p>
    <w:p>
      <w:pPr>
        <w:pStyle w:val="BodyText"/>
        <w:bidi w:val="0"/>
        <w:jc w:val="left"/>
        <w:rPr/>
      </w:pPr>
      <w:r>
        <w:rPr>
          <w:rStyle w:val="Strong"/>
        </w:rPr>
        <w:t>修改</w:t>
      </w:r>
      <w:r>
        <w:rPr/>
        <w:t xml:space="preserve">：权利要求 </w:t>
      </w:r>
      <w:r>
        <w:rPr/>
        <w:t xml:space="preserve">1 </w:t>
      </w:r>
      <w:r>
        <w:rPr/>
        <w:t>改为</w:t>
      </w:r>
      <w:r>
        <w:rPr/>
        <w:t>"……</w:t>
      </w:r>
      <w:r>
        <w:rPr/>
        <w:t>或者获取</w:t>
      </w:r>
      <w:r>
        <w:rPr>
          <w:rStyle w:val="Strong"/>
        </w:rPr>
        <w:t>所述三维点云中的点匹配到各构件的点数统计</w:t>
      </w:r>
      <w:r>
        <w:rPr/>
        <w:t>……</w:t>
      </w:r>
      <w:r>
        <w:rPr/>
        <w:t>"</w:t>
      </w:r>
      <w:r>
        <w:rPr/>
        <w:t>。</w:t>
      </w:r>
    </w:p>
    <w:p>
      <w:pPr>
        <w:pStyle w:val="Heading3"/>
        <w:bidi w:val="0"/>
        <w:jc w:val="left"/>
        <w:rPr/>
      </w:pPr>
      <w:r>
        <w:rPr/>
        <w:t xml:space="preserve">批注 </w:t>
      </w:r>
      <w:r>
        <w:rPr/>
        <w:t>4</w:t>
      </w:r>
      <w:r>
        <w:rPr/>
        <w:t>：构件级统计分配关系在哪一步得到？</w:t>
      </w:r>
    </w:p>
    <w:p>
      <w:pPr>
        <w:pStyle w:val="BodyText"/>
        <w:bidi w:val="0"/>
        <w:jc w:val="left"/>
        <w:rPr/>
      </w:pPr>
      <w:r>
        <w:rPr>
          <w:rStyle w:val="Strong"/>
        </w:rPr>
        <w:t>答复</w:t>
      </w:r>
      <w:r>
        <w:rPr/>
        <w:t>：它不是流程中某一步</w:t>
      </w:r>
      <w:r>
        <w:rPr/>
        <w:t>"</w:t>
      </w:r>
      <w:r>
        <w:rPr/>
        <w:t>算出来</w:t>
      </w:r>
      <w:r>
        <w:rPr/>
        <w:t>"</w:t>
      </w:r>
      <w:r>
        <w:rPr/>
        <w:t>的中间结果，而是</w:t>
      </w:r>
      <w:r>
        <w:rPr>
          <w:rStyle w:val="Strong"/>
        </w:rPr>
        <w:t>预先设定的分配规则</w:t>
      </w:r>
      <w:r>
        <w:rPr/>
        <w:t>——按构件内各表面分块的</w:t>
      </w:r>
      <w:r>
        <w:rPr>
          <w:rStyle w:val="Strong"/>
        </w:rPr>
        <w:t>面积比例</w:t>
      </w:r>
      <w:r>
        <w:rPr/>
        <w:t>把该构件的点数统计摊到各表面分块上（面积大的表面分块分得多）。原稿把它写成一个像是需要求解的对象，属于用词误导。</w:t>
      </w:r>
    </w:p>
    <w:p>
      <w:pPr>
        <w:pStyle w:val="BodyText"/>
        <w:bidi w:val="0"/>
        <w:jc w:val="left"/>
        <w:rPr/>
      </w:pPr>
      <w:r>
        <w:rPr>
          <w:rStyle w:val="Strong"/>
        </w:rPr>
        <w:t>修改</w:t>
      </w:r>
      <w:r>
        <w:rPr/>
        <w:t xml:space="preserve">：权利要求 </w:t>
      </w:r>
      <w:r>
        <w:rPr/>
        <w:t xml:space="preserve">1 </w:t>
      </w:r>
      <w:r>
        <w:rPr/>
        <w:t>中改称</w:t>
      </w:r>
      <w:r>
        <w:rPr/>
        <w:t>"</w:t>
      </w:r>
      <w:r>
        <w:rPr>
          <w:rStyle w:val="Strong"/>
        </w:rPr>
        <w:t>预设分配关系</w:t>
      </w:r>
      <w:r>
        <w:rPr/>
        <w:t>"</w:t>
      </w:r>
      <w:r>
        <w:rPr/>
        <w:t xml:space="preserve">，并在权利要求 </w:t>
      </w:r>
      <w:r>
        <w:rPr/>
        <w:t xml:space="preserve">7 </w:t>
      </w:r>
      <w:r>
        <w:rPr/>
        <w:t>中明确其内容：</w:t>
      </w:r>
    </w:p>
    <w:p>
      <w:pPr>
        <w:pStyle w:val="BlockQuotation"/>
        <w:bidi w:val="0"/>
        <w:jc w:val="left"/>
        <w:rPr/>
      </w:pPr>
      <w:r>
        <w:rPr/>
        <w:t>所述</w:t>
      </w:r>
      <w:r>
        <w:rPr>
          <w:rStyle w:val="Strong"/>
        </w:rPr>
        <w:t>预设分配关系</w:t>
      </w:r>
      <w:r>
        <w:rPr/>
        <w:t>为按对应构件内各表面分块的</w:t>
      </w:r>
      <w:r>
        <w:rPr>
          <w:rStyle w:val="Strong"/>
        </w:rPr>
        <w:t>面积比例</w:t>
      </w:r>
      <w:r>
        <w:rPr/>
        <w:t>分配所述点数统计，用于形成表面分块级观测证据。</w:t>
      </w:r>
    </w:p>
    <w:p>
      <w:pPr>
        <w:pStyle w:val="BodyText"/>
        <w:bidi w:val="0"/>
        <w:jc w:val="left"/>
        <w:rPr/>
      </w:pPr>
      <w:r>
        <w:rPr/>
        <w:t xml:space="preserve">系统权利要求 </w:t>
      </w:r>
      <w:r>
        <w:rPr/>
        <w:t xml:space="preserve">14 </w:t>
      </w:r>
      <w:r>
        <w:rPr/>
        <w:t>的对应模块同步改写。全文已无</w:t>
      </w:r>
      <w:r>
        <w:rPr/>
        <w:t>"</w:t>
      </w:r>
      <w:r>
        <w:rPr/>
        <w:t>构件级统计分配关系</w:t>
      </w:r>
      <w:r>
        <w:rPr/>
        <w:t>"</w:t>
      </w:r>
      <w:r>
        <w:rPr/>
        <w:t>字样。</w:t>
      </w:r>
    </w:p>
    <w:p>
      <w:pPr>
        <w:pStyle w:val="HorizontalLine"/>
        <w:bidi w:val="0"/>
        <w:jc w:val="left"/>
        <w:rPr/>
      </w:pPr>
      <w:r>
        <w:rPr/>
      </w:r>
    </w:p>
    <w:p>
      <w:pPr>
        <w:pStyle w:val="Heading2"/>
        <w:bidi w:val="0"/>
        <w:jc w:val="left"/>
        <w:rPr/>
      </w:pPr>
      <w:r>
        <w:rPr/>
        <w:t xml:space="preserve">二、说明书补充（批注 </w:t>
      </w:r>
      <w:r>
        <w:rPr/>
        <w:t>5</w:t>
      </w:r>
      <w:r>
        <w:rPr/>
        <w:t>）</w:t>
      </w:r>
    </w:p>
    <w:p>
      <w:pPr>
        <w:pStyle w:val="Heading3"/>
        <w:bidi w:val="0"/>
        <w:jc w:val="left"/>
        <w:rPr/>
      </w:pPr>
      <w:r>
        <w:rPr/>
        <w:t xml:space="preserve">批注 </w:t>
      </w:r>
      <w:r>
        <w:rPr/>
        <w:t>5</w:t>
      </w:r>
      <w:r>
        <w:rPr/>
        <w:t>：双法向约束建议结合三维直角坐标系和空间向量补充解释</w:t>
      </w:r>
    </w:p>
    <w:p>
      <w:pPr>
        <w:pStyle w:val="BodyText"/>
        <w:bidi w:val="0"/>
        <w:jc w:val="left"/>
        <w:rPr/>
      </w:pPr>
      <w:r>
        <w:rPr>
          <w:rStyle w:val="Strong"/>
        </w:rPr>
        <w:t>答复与修改</w:t>
      </w:r>
      <w:r>
        <w:rPr/>
        <w:t>：已采纳。在公式（</w:t>
      </w:r>
      <w:r>
        <w:rPr/>
        <w:t>8</w:t>
      </w:r>
      <w:r>
        <w:rPr/>
        <w:t xml:space="preserve">）后新增 </w:t>
      </w:r>
      <w:r>
        <w:rPr/>
        <w:t xml:space="preserve">4 </w:t>
      </w:r>
      <w:r>
        <w:rPr/>
        <w:t>段说明，依次讲清四层意思：</w:t>
      </w:r>
    </w:p>
    <w:p>
      <w:pPr>
        <w:pStyle w:val="BodyText"/>
        <w:numPr>
          <w:ilvl w:val="0"/>
          <w:numId w:val="1"/>
        </w:numPr>
        <w:tabs>
          <w:tab w:val="clear" w:pos="1134"/>
          <w:tab w:val="left" w:pos="709" w:leader="none"/>
        </w:tabs>
        <w:bidi w:val="0"/>
        <w:spacing w:before="0" w:after="0"/>
        <w:ind w:hanging="283" w:left="709"/>
        <w:jc w:val="left"/>
        <w:rPr/>
      </w:pPr>
      <w:r>
        <w:rPr>
          <w:rStyle w:val="Strong"/>
        </w:rPr>
        <w:t>法向是空间向量</w:t>
      </w:r>
      <w:r>
        <w:rPr/>
        <w:t xml:space="preserve">：三角面的单位法向 </w:t>
      </w:r>
      <w:r>
        <w:rPr/>
        <w:t xml:space="preserve">n_t=(n_{t,x}, n_{t,y}, n_{t,z}) </w:t>
      </w:r>
      <w:r>
        <w:rPr/>
        <w:t xml:space="preserve">是三维直角坐标系中的一个向量，模长为 </w:t>
      </w:r>
      <w:r>
        <w:rPr/>
        <w:t>1</w:t>
      </w:r>
      <w:r>
        <w:rPr/>
        <w:t>，由公式（</w:t>
      </w:r>
      <w:r>
        <w:rPr/>
        <w:t>1</w:t>
      </w:r>
      <w:r>
        <w:rPr/>
        <w:t>）的边向量叉乘经公式（</w:t>
      </w:r>
      <w:r>
        <w:rPr/>
        <w:t>2</w:t>
      </w:r>
      <w:r>
        <w:rPr/>
        <w:t xml:space="preserve">）单位化得到，方向垂直于该三角面所在平面，用于表征三角面在空间中的朝向。 </w:t>
      </w:r>
    </w:p>
    <w:p>
      <w:pPr>
        <w:pStyle w:val="BodyText"/>
        <w:numPr>
          <w:ilvl w:val="0"/>
          <w:numId w:val="1"/>
        </w:numPr>
        <w:tabs>
          <w:tab w:val="clear" w:pos="1134"/>
          <w:tab w:val="left" w:pos="709" w:leader="none"/>
        </w:tabs>
        <w:bidi w:val="0"/>
        <w:spacing w:before="0" w:after="0"/>
        <w:ind w:hanging="283" w:left="709"/>
        <w:jc w:val="left"/>
        <w:rPr/>
      </w:pPr>
      <w:r>
        <w:rPr>
          <w:rStyle w:val="Strong"/>
        </w:rPr>
        <w:t>点积即夹角余弦</w:t>
      </w:r>
      <w:r>
        <w:rPr/>
        <w:t>：</w:t>
      </w:r>
      <w:r>
        <w:rPr/>
        <w:t>n_j^T n_k = n_{j,x}n_{k,x}+n_{j,y}n_{k,y}+n_{j,z}n_{k,z}</w:t>
      </w:r>
      <w:r>
        <w:rPr/>
        <w:t xml:space="preserve">，两个单位向量的点积在数值上等于夹角余弦。由于余弦在 </w:t>
      </w:r>
      <w:r>
        <w:rPr/>
        <w:t>0°</w:t>
      </w:r>
      <w:r>
        <w:rPr/>
        <w:t>～</w:t>
      </w:r>
      <w:r>
        <w:rPr/>
        <w:t xml:space="preserve">180° </w:t>
      </w:r>
      <w:r>
        <w:rPr/>
        <w:t>内单调递减，</w:t>
      </w:r>
      <w:r>
        <w:rPr/>
        <w:t>"</w:t>
      </w:r>
      <w:r>
        <w:rPr/>
        <w:t xml:space="preserve">点积 ≥ </w:t>
      </w:r>
      <w:r>
        <w:rPr/>
        <w:t>cos θ"</w:t>
      </w:r>
      <w:r>
        <w:rPr/>
        <w:t>与</w:t>
      </w:r>
      <w:r>
        <w:rPr/>
        <w:t>"</w:t>
      </w:r>
      <w:r>
        <w:rPr/>
        <w:t xml:space="preserve">夹角 ≤ </w:t>
      </w:r>
      <w:r>
        <w:rPr/>
        <w:t>θ"</w:t>
      </w:r>
      <w:r>
        <w:rPr>
          <w:rStyle w:val="Strong"/>
        </w:rPr>
        <w:t>完全等价</w:t>
      </w:r>
      <w:r>
        <w:rPr/>
        <w:t xml:space="preserve">。取 </w:t>
      </w:r>
      <w:r>
        <w:rPr/>
        <w:t xml:space="preserve">θ=20° </w:t>
      </w:r>
      <w:r>
        <w:rPr/>
        <w:t xml:space="preserve">即要求两个三角面朝向偏差不超过 </w:t>
      </w:r>
      <w:r>
        <w:rPr/>
        <w:t>20°</w:t>
      </w:r>
      <w:r>
        <w:rPr/>
        <w:t xml:space="preserve">。 </w:t>
      </w:r>
    </w:p>
    <w:p>
      <w:pPr>
        <w:pStyle w:val="BodyText"/>
        <w:numPr>
          <w:ilvl w:val="0"/>
          <w:numId w:val="1"/>
        </w:numPr>
        <w:tabs>
          <w:tab w:val="clear" w:pos="1134"/>
          <w:tab w:val="left" w:pos="709" w:leader="none"/>
        </w:tabs>
        <w:bidi w:val="0"/>
        <w:spacing w:before="0" w:after="0"/>
        <w:ind w:hanging="283" w:left="709"/>
        <w:jc w:val="left"/>
        <w:rPr/>
      </w:pPr>
      <w:r>
        <w:rPr>
          <w:rStyle w:val="Strong"/>
        </w:rPr>
        <w:t>两项约束各管什么</w:t>
      </w:r>
      <w:r>
        <w:rPr/>
        <w:t>：当前法向约束（</w:t>
      </w:r>
      <w:r>
        <w:rPr/>
        <w:t xml:space="preserve">n_j </w:t>
      </w:r>
      <w:r>
        <w:rPr/>
        <w:t>为正在扩展的三角面）限制</w:t>
      </w:r>
      <w:r>
        <w:rPr>
          <w:rStyle w:val="Strong"/>
        </w:rPr>
        <w:t>相邻两面之间</w:t>
      </w:r>
      <w:r>
        <w:rPr/>
        <w:t>的朝向偏差；种子法向约束（</w:t>
      </w:r>
      <w:r>
        <w:rPr/>
        <w:t xml:space="preserve">n_s </w:t>
      </w:r>
      <w:r>
        <w:rPr/>
        <w:t>为种子三角面）限制候选面与</w:t>
      </w:r>
      <w:r>
        <w:rPr>
          <w:rStyle w:val="Strong"/>
        </w:rPr>
        <w:t>区域起始朝向</w:t>
      </w:r>
      <w:r>
        <w:rPr/>
        <w:t xml:space="preserve">的偏差。 </w:t>
      </w:r>
    </w:p>
    <w:p>
      <w:pPr>
        <w:pStyle w:val="BodyText"/>
        <w:numPr>
          <w:ilvl w:val="0"/>
          <w:numId w:val="1"/>
        </w:numPr>
        <w:tabs>
          <w:tab w:val="clear" w:pos="1134"/>
          <w:tab w:val="left" w:pos="709" w:leader="none"/>
        </w:tabs>
        <w:bidi w:val="0"/>
        <w:ind w:hanging="283" w:left="709"/>
        <w:jc w:val="left"/>
        <w:rPr/>
      </w:pPr>
      <w:r>
        <w:rPr>
          <w:rStyle w:val="Strong"/>
        </w:rPr>
        <w:t>为何缺一不可</w:t>
      </w:r>
      <w:r>
        <w:rPr/>
        <w:t xml:space="preserve">（本发明要点）：若只有当前法向约束，在曲面上相邻两面夹角可以都小于 </w:t>
      </w:r>
      <w:r>
        <w:rPr/>
        <w:t>θ</w:t>
      </w:r>
      <w:r>
        <w:rPr/>
        <w:t>，但沿生长路径</w:t>
      </w:r>
      <w:r>
        <w:rPr>
          <w:rStyle w:val="Strong"/>
        </w:rPr>
        <w:t>逐面累积</w:t>
      </w:r>
      <w:r>
        <w:rPr/>
        <w:t xml:space="preserve">后，末端三角面与种子三角面的夹角可以远大于 </w:t>
      </w:r>
      <w:r>
        <w:rPr/>
        <w:t>θ</w:t>
      </w:r>
      <w:r>
        <w:rPr/>
        <w:t>，从而把朝向差异显著的表面并入同一分块，即</w:t>
      </w:r>
      <w:r>
        <w:rPr>
          <w:rStyle w:val="Strong"/>
        </w:rPr>
        <w:t>链式误合并</w:t>
      </w:r>
      <w:r>
        <w:rPr/>
        <w:t xml:space="preserve">。加入种子法向约束后，区域内任一三角面与种子面的夹角都被限制在 </w:t>
      </w:r>
      <w:r>
        <w:rPr/>
        <w:t xml:space="preserve">θ </w:t>
      </w:r>
      <w:r>
        <w:rPr/>
        <w:t xml:space="preserve">以内，累积偏转达到限度时生长即终止，连续弯曲的表面因此被切分为若干朝向一致的表面分块。 </w:t>
      </w:r>
    </w:p>
    <w:p>
      <w:pPr>
        <w:pStyle w:val="HorizontalLine"/>
        <w:bidi w:val="0"/>
        <w:jc w:val="left"/>
        <w:rPr/>
      </w:pPr>
      <w:r>
        <w:rPr/>
      </w:r>
    </w:p>
    <w:p>
      <w:pPr>
        <w:pStyle w:val="Heading2"/>
        <w:bidi w:val="0"/>
        <w:jc w:val="left"/>
        <w:rPr/>
      </w:pPr>
      <w:r>
        <w:rPr/>
        <w:t xml:space="preserve">三、附图（批注 </w:t>
      </w:r>
      <w:r>
        <w:rPr/>
        <w:t>6</w:t>
      </w:r>
      <w:r>
        <w:rPr/>
        <w:t>～</w:t>
      </w:r>
      <w:r>
        <w:rPr/>
        <w:t>10</w:t>
      </w:r>
      <w:r>
        <w:rPr/>
        <w:t>）</w:t>
      </w:r>
    </w:p>
    <w:p>
      <w:pPr>
        <w:pStyle w:val="Heading3"/>
        <w:bidi w:val="0"/>
        <w:jc w:val="left"/>
        <w:rPr/>
      </w:pPr>
      <w:r>
        <w:rPr/>
        <w:t xml:space="preserve">批注 </w:t>
      </w:r>
      <w:r>
        <w:rPr/>
        <w:t>6</w:t>
      </w:r>
      <w:r>
        <w:rPr/>
        <w:t>：图中的</w:t>
      </w:r>
      <w:r>
        <w:rPr/>
        <w:t>"</w:t>
      </w:r>
      <w:r>
        <w:rPr/>
        <w:t>满足两项约束</w:t>
      </w:r>
      <w:r>
        <w:rPr/>
        <w:t>"</w:t>
      </w:r>
      <w:r>
        <w:rPr/>
        <w:t>，指哪两项？</w:t>
      </w:r>
    </w:p>
    <w:p>
      <w:pPr>
        <w:pStyle w:val="BodyText"/>
        <w:bidi w:val="0"/>
        <w:jc w:val="left"/>
        <w:rPr/>
      </w:pPr>
      <w:r>
        <w:rPr>
          <w:rStyle w:val="Strong"/>
        </w:rPr>
        <w:t>答复</w:t>
      </w:r>
      <w:r>
        <w:rPr/>
        <w:t>：指</w:t>
      </w:r>
      <w:r>
        <w:rPr>
          <w:rStyle w:val="Strong"/>
        </w:rPr>
        <w:t>当前法向约束</w:t>
      </w:r>
      <w:r>
        <w:rPr/>
        <w:t>和</w:t>
      </w:r>
      <w:r>
        <w:rPr>
          <w:rStyle w:val="Strong"/>
        </w:rPr>
        <w:t>种子法向约束</w:t>
      </w:r>
      <w:r>
        <w:rPr/>
        <w:t>这两项。</w:t>
      </w:r>
      <w:r>
        <w:rPr/>
        <w:t>"</w:t>
      </w:r>
      <w:r>
        <w:rPr/>
        <w:t>共享边邻接</w:t>
      </w:r>
      <w:r>
        <w:rPr/>
        <w:t>"</w:t>
      </w:r>
      <w:r>
        <w:rPr/>
        <w:t>不在这两项之内，它是考察一个三角面是否有资格成为候选的</w:t>
      </w:r>
      <w:r>
        <w:rPr>
          <w:rStyle w:val="Strong"/>
        </w:rPr>
        <w:t>前提条件</w:t>
      </w:r>
      <w:r>
        <w:rPr/>
        <w:t>（必要不充分）——两个三角面即使共享边，只要法向约束不满足，仍然不会并入同一表面分块。</w:t>
      </w:r>
    </w:p>
    <w:p>
      <w:pPr>
        <w:pStyle w:val="BodyText"/>
        <w:bidi w:val="0"/>
        <w:jc w:val="left"/>
        <w:rPr/>
      </w:pPr>
      <w:r>
        <w:rPr/>
        <w:t>原稿附图说明写作</w:t>
      </w:r>
      <w:r>
        <w:rPr/>
        <w:t>"</w:t>
      </w:r>
      <w:r>
        <w:rPr/>
        <w:t>三项条件</w:t>
      </w:r>
      <w:r>
        <w:rPr/>
        <w:t>"</w:t>
      </w:r>
      <w:r>
        <w:rPr/>
        <w:t>，与图上</w:t>
      </w:r>
      <w:r>
        <w:rPr/>
        <w:t>"</w:t>
      </w:r>
      <w:r>
        <w:rPr/>
        <w:t>两项约束</w:t>
      </w:r>
      <w:r>
        <w:rPr/>
        <w:t>"</w:t>
      </w:r>
      <w:r>
        <w:rPr/>
        <w:t>不一致，是我方文字疏漏；同时原图四个三角面使用了同一种阴影，无法看出哪几个被并入同一分块，与说明中</w:t>
      </w:r>
      <w:r>
        <w:rPr/>
        <w:t>"</w:t>
      </w:r>
      <w:r>
        <w:rPr/>
        <w:t>满足条件的三角面以相同阴影标记</w:t>
      </w:r>
      <w:r>
        <w:rPr/>
        <w:t>"</w:t>
      </w:r>
      <w:r>
        <w:rPr/>
        <w:t>不符。</w:t>
      </w:r>
    </w:p>
    <w:p>
      <w:pPr>
        <w:pStyle w:val="BodyText"/>
        <w:bidi w:val="0"/>
        <w:jc w:val="left"/>
        <w:rPr/>
      </w:pPr>
      <w:r>
        <w:rPr>
          <w:rStyle w:val="Strong"/>
        </w:rPr>
        <w:t>修改</w:t>
      </w:r>
      <w:r>
        <w:rPr/>
        <w:t>：</w:t>
      </w:r>
      <w:r>
        <w:rPr>
          <w:rStyle w:val="Strong"/>
        </w:rPr>
        <w:t>图</w:t>
      </w:r>
      <w:r>
        <w:rPr>
          <w:rStyle w:val="Strong"/>
        </w:rPr>
        <w:t xml:space="preserve">4 </w:t>
      </w:r>
      <w:r>
        <w:rPr>
          <w:rStyle w:val="Strong"/>
        </w:rPr>
        <w:t>已重画</w:t>
      </w:r>
      <w:r>
        <w:rPr/>
        <w:t>——</w:t>
      </w:r>
    </w:p>
    <w:p>
      <w:pPr>
        <w:pStyle w:val="BodyText"/>
        <w:numPr>
          <w:ilvl w:val="0"/>
          <w:numId w:val="2"/>
        </w:numPr>
        <w:tabs>
          <w:tab w:val="clear" w:pos="1134"/>
          <w:tab w:val="left" w:pos="709" w:leader="none"/>
        </w:tabs>
        <w:bidi w:val="0"/>
        <w:spacing w:before="0" w:after="0"/>
        <w:ind w:hanging="283" w:left="709"/>
        <w:jc w:val="left"/>
        <w:rPr/>
      </w:pPr>
      <w:r>
        <w:rPr/>
        <w:t xml:space="preserve">四个三角面 </w:t>
      </w:r>
      <w:r>
        <w:rPr/>
        <w:t>T1</w:t>
      </w:r>
      <w:r>
        <w:rPr/>
        <w:t>～</w:t>
      </w:r>
      <w:r>
        <w:rPr/>
        <w:t xml:space="preserve">T4 </w:t>
      </w:r>
      <w:r>
        <w:rPr/>
        <w:t>改为真正依次共享边相连，相邻两面共用的边以</w:t>
      </w:r>
      <w:r>
        <w:rPr>
          <w:rStyle w:val="Strong"/>
        </w:rPr>
        <w:t>加粗线段</w:t>
      </w:r>
      <w:r>
        <w:rPr/>
        <w:t xml:space="preserve">标出； </w:t>
      </w:r>
    </w:p>
    <w:p>
      <w:pPr>
        <w:pStyle w:val="BodyText"/>
        <w:numPr>
          <w:ilvl w:val="0"/>
          <w:numId w:val="2"/>
        </w:numPr>
        <w:tabs>
          <w:tab w:val="clear" w:pos="1134"/>
          <w:tab w:val="left" w:pos="709" w:leader="none"/>
        </w:tabs>
        <w:bidi w:val="0"/>
        <w:spacing w:before="0" w:after="0"/>
        <w:ind w:hanging="283" w:left="709"/>
        <w:jc w:val="left"/>
        <w:rPr/>
      </w:pPr>
      <w:r>
        <w:rPr/>
        <w:t xml:space="preserve">T1 </w:t>
      </w:r>
      <w:r>
        <w:rPr/>
        <w:t>标注为种子三角面；</w:t>
      </w:r>
      <w:r>
        <w:rPr/>
        <w:t>T1</w:t>
      </w:r>
      <w:r>
        <w:rPr/>
        <w:t>～</w:t>
      </w:r>
      <w:r>
        <w:rPr/>
        <w:t xml:space="preserve">T3 </w:t>
      </w:r>
      <w:r>
        <w:rPr/>
        <w:t>法向一致、满足两项法向约束，以</w:t>
      </w:r>
      <w:r>
        <w:rPr>
          <w:rStyle w:val="Strong"/>
        </w:rPr>
        <w:t>相同阴影填充</w:t>
      </w:r>
      <w:r>
        <w:rPr/>
        <w:t>表示并入同一表面分块；</w:t>
      </w:r>
      <w:r>
        <w:rPr/>
        <w:t xml:space="preserve">T4 </w:t>
      </w:r>
      <w:r>
        <w:rPr/>
        <w:t xml:space="preserve">虽与 </w:t>
      </w:r>
      <w:r>
        <w:rPr/>
        <w:t xml:space="preserve">T3 </w:t>
      </w:r>
      <w:r>
        <w:rPr/>
        <w:t>共享边但法向偏转过大，以</w:t>
      </w:r>
      <w:r>
        <w:rPr>
          <w:rStyle w:val="Strong"/>
        </w:rPr>
        <w:t>空白填充</w:t>
      </w:r>
      <w:r>
        <w:rPr/>
        <w:t>表示未并入——由此直观体现</w:t>
      </w:r>
      <w:r>
        <w:rPr/>
        <w:t>"</w:t>
      </w:r>
      <w:r>
        <w:rPr/>
        <w:t>共享边是前提而非充分条件</w:t>
      </w:r>
      <w:r>
        <w:rPr/>
        <w:t>"</w:t>
      </w:r>
      <w:r>
        <w:rPr/>
        <w:t xml:space="preserve">； </w:t>
      </w:r>
    </w:p>
    <w:p>
      <w:pPr>
        <w:pStyle w:val="BodyText"/>
        <w:numPr>
          <w:ilvl w:val="0"/>
          <w:numId w:val="2"/>
        </w:numPr>
        <w:tabs>
          <w:tab w:val="clear" w:pos="1134"/>
          <w:tab w:val="left" w:pos="709" w:leader="none"/>
        </w:tabs>
        <w:bidi w:val="0"/>
        <w:spacing w:before="0" w:after="0"/>
        <w:ind w:hanging="283" w:left="709"/>
        <w:jc w:val="left"/>
        <w:rPr/>
      </w:pPr>
      <w:r>
        <w:rPr/>
        <w:t>图下方三个方框改为</w:t>
      </w:r>
      <w:r>
        <w:rPr/>
        <w:t>"</w:t>
      </w:r>
      <w:r>
        <w:rPr/>
        <w:t>前提：共享边邻接</w:t>
      </w:r>
      <w:r>
        <w:rPr/>
        <w:t>"→"</w:t>
      </w:r>
      <w:r>
        <w:rPr/>
        <w:t>约束①：当前法向约束</w:t>
      </w:r>
      <w:r>
        <w:rPr/>
        <w:t>"→"</w:t>
      </w:r>
      <w:r>
        <w:rPr/>
        <w:t>约束②：种子法向约束</w:t>
      </w:r>
      <w:r>
        <w:rPr/>
        <w:t>"</w:t>
      </w:r>
      <w:r>
        <w:rPr/>
        <w:t>，并用横向括注标出后两个方框为</w:t>
      </w:r>
      <w:r>
        <w:rPr/>
        <w:t>"</w:t>
      </w:r>
      <w:r>
        <w:rPr>
          <w:rStyle w:val="Strong"/>
        </w:rPr>
        <w:t>两项法向约束</w:t>
      </w:r>
      <w:r>
        <w:rPr/>
        <w:t>"</w:t>
      </w:r>
      <w:r>
        <w:rPr/>
        <w:t xml:space="preserve">； </w:t>
      </w:r>
    </w:p>
    <w:p>
      <w:pPr>
        <w:pStyle w:val="BodyText"/>
        <w:numPr>
          <w:ilvl w:val="0"/>
          <w:numId w:val="2"/>
        </w:numPr>
        <w:tabs>
          <w:tab w:val="clear" w:pos="1134"/>
          <w:tab w:val="left" w:pos="709" w:leader="none"/>
        </w:tabs>
        <w:bidi w:val="0"/>
        <w:ind w:hanging="283" w:left="709"/>
        <w:jc w:val="left"/>
        <w:rPr/>
      </w:pPr>
      <w:r>
        <w:rPr/>
        <w:t>图中结论文字改为</w:t>
      </w:r>
      <w:r>
        <w:rPr/>
        <w:t>"</w:t>
      </w:r>
      <w:r>
        <w:rPr/>
        <w:t>满足共享边邻接、且同时满足两项法向约束的三角面并入同一表面分块</w:t>
      </w:r>
      <w:r>
        <w:rPr/>
        <w:t>"</w:t>
      </w:r>
      <w:r>
        <w:rPr/>
        <w:t xml:space="preserve">。 </w:t>
      </w:r>
    </w:p>
    <w:p>
      <w:pPr>
        <w:pStyle w:val="BodyText"/>
        <w:bidi w:val="0"/>
        <w:jc w:val="left"/>
        <w:rPr/>
      </w:pPr>
      <w:r>
        <w:rPr/>
        <w:t>附图说明相应改写，与图完全对应，不再出现</w:t>
      </w:r>
      <w:r>
        <w:rPr/>
        <w:t>"</w:t>
      </w:r>
      <w:r>
        <w:rPr/>
        <w:t>三项条件</w:t>
      </w:r>
      <w:r>
        <w:rPr/>
        <w:t>"</w:t>
      </w:r>
      <w:r>
        <w:rPr/>
        <w:t>。</w:t>
      </w:r>
    </w:p>
    <w:p>
      <w:pPr>
        <w:pStyle w:val="Heading3"/>
        <w:bidi w:val="0"/>
        <w:jc w:val="left"/>
        <w:rPr/>
      </w:pPr>
      <w:r>
        <w:rPr/>
        <w:t xml:space="preserve">批注 </w:t>
      </w:r>
      <w:r>
        <w:rPr/>
        <w:t>7</w:t>
      </w:r>
      <w:r>
        <w:rPr/>
        <w:t>：看不出何为该条带的坐标变换结果</w:t>
      </w:r>
    </w:p>
    <w:p>
      <w:pPr>
        <w:pStyle w:val="BodyText"/>
        <w:bidi w:val="0"/>
        <w:jc w:val="left"/>
        <w:rPr/>
      </w:pPr>
      <w:r>
        <w:rPr>
          <w:rStyle w:val="Strong"/>
        </w:rPr>
        <w:t>答复</w:t>
      </w:r>
      <w:r>
        <w:rPr/>
        <w:t>：原图确有缺陷——只画了一个条带和一个</w:t>
      </w:r>
      <w:r>
        <w:rPr/>
        <w:t>"</w:t>
      </w:r>
      <w:r>
        <w:rPr/>
        <w:t>刚性对齐</w:t>
      </w:r>
      <w:r>
        <w:rPr/>
        <w:t>"</w:t>
      </w:r>
      <w:r>
        <w:rPr/>
        <w:t>箭头，</w:t>
      </w:r>
      <w:r>
        <w:rPr>
          <w:rStyle w:val="Strong"/>
        </w:rPr>
        <w:t>没有画出变换前后的对照</w:t>
      </w:r>
      <w:r>
        <w:rPr/>
        <w:t>，仅凭一个箭头无法看出</w:t>
      </w:r>
      <w:r>
        <w:rPr/>
        <w:t>"</w:t>
      </w:r>
      <w:r>
        <w:rPr/>
        <w:t>坐标变换结果</w:t>
      </w:r>
      <w:r>
        <w:rPr/>
        <w:t>"</w:t>
      </w:r>
      <w:r>
        <w:rPr/>
        <w:t>。</w:t>
      </w:r>
    </w:p>
    <w:p>
      <w:pPr>
        <w:pStyle w:val="BodyText"/>
        <w:bidi w:val="0"/>
        <w:jc w:val="left"/>
        <w:rPr/>
      </w:pPr>
      <w:r>
        <w:rPr>
          <w:rStyle w:val="Strong"/>
        </w:rPr>
        <w:t>修改</w:t>
      </w:r>
      <w:r>
        <w:rPr/>
        <w:t>：</w:t>
      </w:r>
      <w:r>
        <w:rPr>
          <w:rStyle w:val="Strong"/>
        </w:rPr>
        <w:t>图</w:t>
      </w:r>
      <w:r>
        <w:rPr>
          <w:rStyle w:val="Strong"/>
        </w:rPr>
        <w:t xml:space="preserve">5 </w:t>
      </w:r>
      <w:r>
        <w:rPr>
          <w:rStyle w:val="Strong"/>
        </w:rPr>
        <w:t>已重画</w:t>
      </w:r>
      <w:r>
        <w:rPr/>
        <w:t>。图左侧以</w:t>
      </w:r>
      <w:r>
        <w:rPr>
          <w:rStyle w:val="Strong"/>
        </w:rPr>
        <w:t>浅色空心圆点</w:t>
      </w:r>
      <w:r>
        <w:rPr/>
        <w:t>画出</w:t>
      </w:r>
      <w:r>
        <w:rPr/>
        <w:t>"</w:t>
      </w:r>
      <w:r>
        <w:rPr/>
        <w:t>对齐前点云</w:t>
      </w:r>
      <w:r>
        <w:rPr/>
        <w:t>"</w:t>
      </w:r>
      <w:r>
        <w:rPr/>
        <w:t>，中间以标注</w:t>
      </w:r>
      <w:r>
        <w:rPr/>
        <w:t>"</w:t>
      </w:r>
      <w:r>
        <w:rPr/>
        <w:t>刚性对齐</w:t>
      </w:r>
      <w:r>
        <w:rPr/>
        <w:t>"</w:t>
      </w:r>
      <w:r>
        <w:rPr/>
        <w:t xml:space="preserve">的箭头表示施加粗配准平移（或在此基础上进一步执行刚性迭代最近点细配准），箭头右侧为完成对齐后、已与 </w:t>
      </w:r>
      <w:r>
        <w:rPr/>
        <w:t xml:space="preserve">IFC </w:t>
      </w:r>
      <w:r>
        <w:rPr/>
        <w:t>表面对应的点云。变换前后同时呈现，</w:t>
      </w:r>
      <w:r>
        <w:rPr/>
        <w:t>"</w:t>
      </w:r>
      <w:r>
        <w:rPr/>
        <w:t>坐标变换结果</w:t>
      </w:r>
      <w:r>
        <w:rPr/>
        <w:t>"</w:t>
      </w:r>
      <w:r>
        <w:rPr/>
        <w:t>即为箭头右侧的点云状态。</w:t>
      </w:r>
    </w:p>
    <w:p>
      <w:pPr>
        <w:pStyle w:val="Heading3"/>
        <w:bidi w:val="0"/>
        <w:jc w:val="left"/>
        <w:rPr/>
      </w:pPr>
      <w:r>
        <w:rPr/>
        <w:t xml:space="preserve">批注 </w:t>
      </w:r>
      <w:r>
        <w:rPr/>
        <w:t>8</w:t>
      </w:r>
      <w:r>
        <w:rPr/>
        <w:t>：边界内侧是指虚线的左侧还是右侧？</w:t>
      </w:r>
    </w:p>
    <w:p>
      <w:pPr>
        <w:pStyle w:val="BodyText"/>
        <w:bidi w:val="0"/>
        <w:jc w:val="left"/>
        <w:rPr/>
      </w:pPr>
      <w:r>
        <w:rPr>
          <w:rStyle w:val="Strong"/>
        </w:rPr>
        <w:t>答复</w:t>
      </w:r>
      <w:r>
        <w:rPr/>
        <w:t>：这个问题暴露的是原图的几何表达错误，而非单纯的措辞问题。</w:t>
      </w:r>
      <w:r>
        <w:rPr/>
        <w:t>"</w:t>
      </w:r>
      <w:r>
        <w:rPr/>
        <w:t xml:space="preserve">到 </w:t>
      </w:r>
      <w:r>
        <w:rPr/>
        <w:t xml:space="preserve">IFC </w:t>
      </w:r>
      <w:r>
        <w:rPr/>
        <w:t>表面的距离阈值</w:t>
      </w:r>
      <w:r>
        <w:rPr/>
        <w:t>"</w:t>
      </w:r>
      <w:r>
        <w:rPr/>
        <w:t>在几何上应当是一条</w:t>
      </w:r>
      <w:r>
        <w:rPr>
          <w:rStyle w:val="Strong"/>
        </w:rPr>
        <w:t>平行于表面</w:t>
      </w:r>
      <w:r>
        <w:rPr/>
        <w:t>的边界，原图却画成一条</w:t>
      </w:r>
      <w:r>
        <w:rPr>
          <w:rStyle w:val="Strong"/>
        </w:rPr>
        <w:t>竖直虚线</w:t>
      </w:r>
      <w:r>
        <w:rPr/>
        <w:t>把条带左右切开，因而必然产生</w:t>
      </w:r>
      <w:r>
        <w:rPr/>
        <w:t>"</w:t>
      </w:r>
      <w:r>
        <w:rPr/>
        <w:t>左侧还是右侧</w:t>
      </w:r>
      <w:r>
        <w:rPr/>
        <w:t>"</w:t>
      </w:r>
      <w:r>
        <w:rPr/>
        <w:t>的疑问——按原图无法给出正确答案。</w:t>
      </w:r>
    </w:p>
    <w:p>
      <w:pPr>
        <w:pStyle w:val="BodyText"/>
        <w:bidi w:val="0"/>
        <w:jc w:val="left"/>
        <w:rPr/>
      </w:pPr>
      <w:r>
        <w:rPr>
          <w:rStyle w:val="Strong"/>
        </w:rPr>
        <w:t>修改</w:t>
      </w:r>
      <w:r>
        <w:rPr/>
        <w:t>：</w:t>
      </w:r>
      <w:r>
        <w:rPr>
          <w:rStyle w:val="Strong"/>
        </w:rPr>
        <w:t>图</w:t>
      </w:r>
      <w:r>
        <w:rPr>
          <w:rStyle w:val="Strong"/>
        </w:rPr>
        <w:t xml:space="preserve">5 </w:t>
      </w:r>
      <w:r>
        <w:rPr>
          <w:rStyle w:val="Strong"/>
        </w:rPr>
        <w:t>已重画</w:t>
      </w:r>
      <w:r>
        <w:rPr/>
        <w:t>，问题从根本上消除：</w:t>
      </w:r>
    </w:p>
    <w:p>
      <w:pPr>
        <w:pStyle w:val="BodyText"/>
        <w:numPr>
          <w:ilvl w:val="0"/>
          <w:numId w:val="3"/>
        </w:numPr>
        <w:tabs>
          <w:tab w:val="clear" w:pos="1134"/>
          <w:tab w:val="left" w:pos="709" w:leader="none"/>
        </w:tabs>
        <w:bidi w:val="0"/>
        <w:spacing w:before="0" w:after="0"/>
        <w:ind w:hanging="283" w:left="709"/>
        <w:jc w:val="left"/>
        <w:rPr/>
      </w:pPr>
      <w:r>
        <w:rPr/>
        <w:t>图中以</w:t>
      </w:r>
      <w:r>
        <w:rPr>
          <w:rStyle w:val="Strong"/>
        </w:rPr>
        <w:t>粗实线</w:t>
      </w:r>
      <w:r>
        <w:rPr/>
        <w:t xml:space="preserve">画出 </w:t>
      </w:r>
      <w:r>
        <w:rPr/>
        <w:t xml:space="preserve">IFC </w:t>
      </w:r>
      <w:r>
        <w:rPr/>
        <w:t xml:space="preserve">三角表面（原图完全没有画）； </w:t>
      </w:r>
    </w:p>
    <w:p>
      <w:pPr>
        <w:pStyle w:val="BodyText"/>
        <w:numPr>
          <w:ilvl w:val="0"/>
          <w:numId w:val="3"/>
        </w:numPr>
        <w:tabs>
          <w:tab w:val="clear" w:pos="1134"/>
          <w:tab w:val="left" w:pos="709" w:leader="none"/>
        </w:tabs>
        <w:bidi w:val="0"/>
        <w:spacing w:before="0" w:after="0"/>
        <w:ind w:hanging="283" w:left="709"/>
        <w:jc w:val="left"/>
        <w:rPr/>
      </w:pPr>
      <w:r>
        <w:rPr/>
        <w:t>在该表面</w:t>
      </w:r>
      <w:r>
        <w:rPr>
          <w:rStyle w:val="Strong"/>
        </w:rPr>
        <w:t>两侧各画一条与之平行的虚线</w:t>
      </w:r>
      <w:r>
        <w:rPr/>
        <w:t xml:space="preserve">，两条虚线到表面的距离均为距离阈值 </w:t>
      </w:r>
      <w:r>
        <w:rPr/>
        <w:t>τ_d</w:t>
      </w:r>
      <w:r>
        <w:rPr/>
        <w:t xml:space="preserve">，两条虚线之间的带状区域即距离阈值范围（浅色阴影）； </w:t>
      </w:r>
    </w:p>
    <w:p>
      <w:pPr>
        <w:pStyle w:val="BodyText"/>
        <w:numPr>
          <w:ilvl w:val="0"/>
          <w:numId w:val="3"/>
        </w:numPr>
        <w:tabs>
          <w:tab w:val="clear" w:pos="1134"/>
          <w:tab w:val="left" w:pos="709" w:leader="none"/>
        </w:tabs>
        <w:bidi w:val="0"/>
        <w:spacing w:before="0" w:after="0"/>
        <w:ind w:hanging="283" w:left="709"/>
        <w:jc w:val="left"/>
        <w:rPr/>
      </w:pPr>
      <w:r>
        <w:rPr/>
        <w:t>落在</w:t>
      </w:r>
      <w:r>
        <w:rPr>
          <w:rStyle w:val="Strong"/>
        </w:rPr>
        <w:t>带内</w:t>
      </w:r>
      <w:r>
        <w:rPr/>
        <w:t>的点以</w:t>
      </w:r>
      <w:r>
        <w:rPr>
          <w:rStyle w:val="Strong"/>
        </w:rPr>
        <w:t>实心圆点</w:t>
      </w:r>
      <w:r>
        <w:rPr/>
        <w:t xml:space="preserve">表示（最近距离 ≤ </w:t>
      </w:r>
      <w:r>
        <w:rPr/>
        <w:t>τ_d</w:t>
      </w:r>
      <w:r>
        <w:rPr/>
        <w:t>，判为匹配，计入所属表面分块）；落在</w:t>
      </w:r>
      <w:r>
        <w:rPr>
          <w:rStyle w:val="Strong"/>
        </w:rPr>
        <w:t>带外</w:t>
      </w:r>
      <w:r>
        <w:rPr/>
        <w:t>的点以</w:t>
      </w:r>
      <w:r>
        <w:rPr>
          <w:rStyle w:val="Strong"/>
        </w:rPr>
        <w:t>空心圆点</w:t>
      </w:r>
      <w:r>
        <w:rPr/>
        <w:t xml:space="preserve">表示（判为未匹配，计入未匹配点统计）； </w:t>
      </w:r>
    </w:p>
    <w:p>
      <w:pPr>
        <w:pStyle w:val="BodyText"/>
        <w:numPr>
          <w:ilvl w:val="0"/>
          <w:numId w:val="3"/>
        </w:numPr>
        <w:tabs>
          <w:tab w:val="clear" w:pos="1134"/>
          <w:tab w:val="left" w:pos="709" w:leader="none"/>
        </w:tabs>
        <w:bidi w:val="0"/>
        <w:ind w:hanging="283" w:left="709"/>
        <w:jc w:val="left"/>
        <w:rPr/>
      </w:pPr>
      <w:r>
        <w:rPr/>
        <w:t>另画出一个点到表面的垂线及其在表面上的</w:t>
      </w:r>
      <w:r>
        <w:rPr>
          <w:rStyle w:val="Strong"/>
        </w:rPr>
        <w:t>叉号标记</w:t>
      </w:r>
      <w:r>
        <w:rPr/>
        <w:t>，表示</w:t>
      </w:r>
      <w:r>
        <w:rPr/>
        <w:t>"</w:t>
      </w:r>
      <w:r>
        <w:rPr/>
        <w:t>最近表面点</w:t>
      </w:r>
      <w:r>
        <w:rPr/>
        <w:t>"</w:t>
      </w:r>
      <w:r>
        <w:rPr/>
        <w:t xml:space="preserve">。 </w:t>
      </w:r>
    </w:p>
    <w:p>
      <w:pPr>
        <w:pStyle w:val="BodyText"/>
        <w:bidi w:val="0"/>
        <w:jc w:val="left"/>
        <w:rPr/>
      </w:pPr>
      <w:r>
        <w:rPr/>
        <w:t>判据由</w:t>
      </w:r>
      <w:r>
        <w:rPr/>
        <w:t>"</w:t>
      </w:r>
      <w:r>
        <w:rPr/>
        <w:t>内侧</w:t>
      </w:r>
      <w:r>
        <w:rPr/>
        <w:t>/</w:t>
      </w:r>
      <w:r>
        <w:rPr/>
        <w:t>外侧</w:t>
      </w:r>
      <w:r>
        <w:rPr/>
        <w:t>"</w:t>
      </w:r>
      <w:r>
        <w:rPr/>
        <w:t>改为</w:t>
      </w:r>
      <w:r>
        <w:rPr/>
        <w:t>"</w:t>
      </w:r>
      <w:r>
        <w:rPr>
          <w:rStyle w:val="Strong"/>
        </w:rPr>
        <w:t>带内</w:t>
      </w:r>
      <w:r>
        <w:rPr>
          <w:rStyle w:val="Strong"/>
        </w:rPr>
        <w:t>/</w:t>
      </w:r>
      <w:r>
        <w:rPr>
          <w:rStyle w:val="Strong"/>
        </w:rPr>
        <w:t>带外</w:t>
      </w:r>
      <w:r>
        <w:rPr/>
        <w:t>"</w:t>
      </w:r>
      <w:r>
        <w:rPr/>
        <w:t>，与左右方位无关，不再有歧义。</w:t>
      </w:r>
    </w:p>
    <w:p>
      <w:pPr>
        <w:pStyle w:val="Heading3"/>
        <w:bidi w:val="0"/>
        <w:jc w:val="left"/>
        <w:rPr/>
      </w:pPr>
      <w:r>
        <w:rPr/>
        <w:t xml:space="preserve">批注 </w:t>
      </w:r>
      <w:r>
        <w:rPr/>
        <w:t>9</w:t>
      </w:r>
      <w:r>
        <w:rPr/>
        <w:t>：候选位姿指图中的空心圆圈？只能出现在第一、二条弧线之间，还是任意位置？</w:t>
      </w:r>
    </w:p>
    <w:p>
      <w:pPr>
        <w:pStyle w:val="BodyText"/>
        <w:bidi w:val="0"/>
        <w:jc w:val="left"/>
        <w:rPr/>
      </w:pPr>
      <w:r>
        <w:rPr>
          <w:rStyle w:val="Strong"/>
        </w:rPr>
        <w:t>答复</w:t>
      </w:r>
      <w:r>
        <w:rPr/>
        <w:t>：是空心圆圈。正确的几何关系是：三条弧线代表</w:t>
      </w:r>
      <w:r>
        <w:rPr>
          <w:rStyle w:val="Strong"/>
        </w:rPr>
        <w:t>三个候选距离层</w:t>
      </w:r>
      <w:r>
        <w:rPr/>
        <w:t>，候选位姿位于</w:t>
      </w:r>
      <w:r>
        <w:rPr>
          <w:rStyle w:val="Strong"/>
        </w:rPr>
        <w:t>每一条弧线之上</w:t>
      </w:r>
      <w:r>
        <w:rPr/>
        <w:t>（即到目标表面分块中心的距离恰为该层的候选距离），</w:t>
      </w:r>
      <w:r>
        <w:rPr>
          <w:rStyle w:val="Strong"/>
        </w:rPr>
        <w:t>不是位于弧线之间</w:t>
      </w:r>
      <w:r>
        <w:rPr/>
        <w:t>。原图中空心圆未准确落在弧线上，且标题与标注文字相互重叠，才导致无法判读——是制图缺陷。</w:t>
      </w:r>
    </w:p>
    <w:p>
      <w:pPr>
        <w:pStyle w:val="BodyText"/>
        <w:bidi w:val="0"/>
        <w:jc w:val="left"/>
        <w:rPr/>
      </w:pPr>
      <w:r>
        <w:rPr>
          <w:rStyle w:val="Strong"/>
        </w:rPr>
        <w:t>修改</w:t>
      </w:r>
      <w:r>
        <w:rPr/>
        <w:t>：</w:t>
      </w:r>
      <w:r>
        <w:rPr>
          <w:rStyle w:val="Strong"/>
        </w:rPr>
        <w:t>图</w:t>
      </w:r>
      <w:r>
        <w:rPr>
          <w:rStyle w:val="Strong"/>
        </w:rPr>
        <w:t xml:space="preserve">8 </w:t>
      </w:r>
      <w:r>
        <w:rPr>
          <w:rStyle w:val="Strong"/>
        </w:rPr>
        <w:t>已重画</w:t>
      </w:r>
      <w:r>
        <w:rPr/>
        <w:t>：</w:t>
      </w:r>
    </w:p>
    <w:p>
      <w:pPr>
        <w:pStyle w:val="BodyText"/>
        <w:numPr>
          <w:ilvl w:val="0"/>
          <w:numId w:val="4"/>
        </w:numPr>
        <w:tabs>
          <w:tab w:val="clear" w:pos="1134"/>
          <w:tab w:val="left" w:pos="709" w:leader="none"/>
        </w:tabs>
        <w:bidi w:val="0"/>
        <w:spacing w:before="0" w:after="0"/>
        <w:ind w:hanging="283" w:left="709"/>
        <w:jc w:val="left"/>
        <w:rPr/>
      </w:pPr>
      <w:r>
        <w:rPr/>
        <w:t>三条弧线分别以实线、虚线、点线绘出，标注</w:t>
      </w:r>
      <w:r>
        <w:rPr/>
        <w:t>"</w:t>
      </w:r>
      <w:r>
        <w:rPr/>
        <w:t>三层距离（三条弧线）</w:t>
      </w:r>
      <w:r>
        <w:rPr/>
        <w:t>"</w:t>
      </w:r>
      <w:r>
        <w:rPr/>
        <w:t xml:space="preserve">并用三条引线分别指向这三条弧； </w:t>
      </w:r>
    </w:p>
    <w:p>
      <w:pPr>
        <w:pStyle w:val="BodyText"/>
        <w:numPr>
          <w:ilvl w:val="0"/>
          <w:numId w:val="4"/>
        </w:numPr>
        <w:tabs>
          <w:tab w:val="clear" w:pos="1134"/>
          <w:tab w:val="left" w:pos="709" w:leader="none"/>
        </w:tabs>
        <w:bidi w:val="0"/>
        <w:spacing w:before="0" w:after="0"/>
        <w:ind w:hanging="283" w:left="709"/>
        <w:jc w:val="left"/>
        <w:rPr/>
      </w:pPr>
      <w:r>
        <w:rPr>
          <w:rStyle w:val="Strong"/>
        </w:rPr>
        <w:t>每条弧线上各布置三个空心圆</w:t>
      </w:r>
      <w:r>
        <w:rPr/>
        <w:t xml:space="preserve">（共 </w:t>
      </w:r>
      <w:r>
        <w:rPr/>
        <w:t xml:space="preserve">9 </w:t>
      </w:r>
      <w:r>
        <w:rPr/>
        <w:t>个候选位姿），严格落在弧线之上；同一弧线上的三个圆对应在该距离层上叠加不同的</w:t>
      </w:r>
      <w:r>
        <w:rPr>
          <w:rStyle w:val="Strong"/>
        </w:rPr>
        <w:t>方位角偏移与俯仰角偏移</w:t>
      </w:r>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各空心圆引出箭头指向目标表面分块中心，表示候选位姿朝向； </w:t>
      </w:r>
    </w:p>
    <w:p>
      <w:pPr>
        <w:pStyle w:val="BodyText"/>
        <w:numPr>
          <w:ilvl w:val="0"/>
          <w:numId w:val="4"/>
        </w:numPr>
        <w:tabs>
          <w:tab w:val="clear" w:pos="1134"/>
          <w:tab w:val="left" w:pos="709" w:leader="none"/>
        </w:tabs>
        <w:bidi w:val="0"/>
        <w:spacing w:before="0" w:after="0"/>
        <w:ind w:hanging="283" w:left="709"/>
        <w:jc w:val="left"/>
        <w:rPr/>
      </w:pPr>
      <w:r>
        <w:rPr/>
        <w:t xml:space="preserve">目标表面分块的法向单独以粗箭头画出并标注，与候选连线区分； </w:t>
      </w:r>
    </w:p>
    <w:p>
      <w:pPr>
        <w:pStyle w:val="BodyText"/>
        <w:numPr>
          <w:ilvl w:val="0"/>
          <w:numId w:val="4"/>
        </w:numPr>
        <w:tabs>
          <w:tab w:val="clear" w:pos="1134"/>
          <w:tab w:val="left" w:pos="709" w:leader="none"/>
        </w:tabs>
        <w:bidi w:val="0"/>
        <w:ind w:hanging="283" w:left="709"/>
        <w:jc w:val="left"/>
        <w:rPr/>
      </w:pPr>
      <w:r>
        <w:rPr/>
        <w:t>增加图例说明</w:t>
      </w:r>
      <w:r>
        <w:rPr/>
        <w:t>"</w:t>
      </w:r>
      <w:r>
        <w:rPr/>
        <w:t>空心圆：候选补充扫描位姿，位于对应距离层的弧线上</w:t>
      </w:r>
      <w:r>
        <w:rPr/>
        <w:t>"</w:t>
      </w:r>
      <w:r>
        <w:rPr/>
        <w:t xml:space="preserve">；清理了全部文字重叠。 </w:t>
      </w:r>
    </w:p>
    <w:p>
      <w:pPr>
        <w:pStyle w:val="BodyText"/>
        <w:bidi w:val="0"/>
        <w:jc w:val="left"/>
        <w:rPr/>
      </w:pPr>
      <w:r>
        <w:rPr/>
        <w:t>附图说明中明确写出</w:t>
      </w:r>
      <w:r>
        <w:rPr/>
        <w:t>"</w:t>
      </w:r>
      <w:r>
        <w:rPr/>
        <w:t>每个候选位姿均位于其所属候选距离层的弧线之上，</w:t>
      </w:r>
      <w:r>
        <w:rPr>
          <w:rStyle w:val="Strong"/>
        </w:rPr>
        <w:t>而非位于相邻两条弧线之间</w:t>
      </w:r>
      <w:r>
        <w:rPr/>
        <w:t>"</w:t>
      </w:r>
      <w:r>
        <w:rPr/>
        <w:t>，并说明候选位姿数量由候选距离、方位角偏移、俯仰角偏移的</w:t>
      </w:r>
      <w:r>
        <w:rPr>
          <w:rStyle w:val="Strong"/>
        </w:rPr>
        <w:t>组合数</w:t>
      </w:r>
      <w:r>
        <w:rPr/>
        <w:t>决定（图中每层示出三个仅为示例）。</w:t>
      </w:r>
    </w:p>
    <w:p>
      <w:pPr>
        <w:pStyle w:val="Heading3"/>
        <w:bidi w:val="0"/>
        <w:jc w:val="left"/>
        <w:rPr/>
      </w:pPr>
      <w:r>
        <w:rPr/>
        <w:t xml:space="preserve">批注 </w:t>
      </w:r>
      <w:r>
        <w:rPr/>
        <w:t>10</w:t>
      </w:r>
      <w:r>
        <w:rPr/>
        <w:t>：为何右上角的网格状表面分块更新为阴影状，其他两个更新为空白？</w:t>
      </w:r>
    </w:p>
    <w:p>
      <w:pPr>
        <w:pStyle w:val="BodyText"/>
        <w:bidi w:val="0"/>
        <w:jc w:val="left"/>
        <w:rPr/>
      </w:pPr>
      <w:r>
        <w:rPr>
          <w:rStyle w:val="Strong"/>
        </w:rPr>
        <w:t>答复</w:t>
      </w:r>
      <w:r>
        <w:rPr/>
        <w:t>：这个差异是</w:t>
      </w:r>
      <w:r>
        <w:rPr>
          <w:rStyle w:val="Strong"/>
        </w:rPr>
        <w:t>有意表达的</w:t>
      </w:r>
      <w:r>
        <w:rPr/>
        <w:t>，且正是本发明需要多轮闭环的原因，原稿只是漏了解释。</w:t>
      </w:r>
    </w:p>
    <w:p>
      <w:pPr>
        <w:pStyle w:val="BodyText"/>
        <w:bidi w:val="0"/>
        <w:jc w:val="left"/>
        <w:rPr/>
      </w:pPr>
      <w:r>
        <w:rPr/>
        <w:t>图中填充含义为：网格填充＝缺口等级高，斜线填充＝缺口等级中，空白＝缺口等级低。补充扫描前有三个高缺口分块。执行本轮所选补充扫描位姿后：</w:t>
      </w:r>
    </w:p>
    <w:p>
      <w:pPr>
        <w:pStyle w:val="BodyText"/>
        <w:numPr>
          <w:ilvl w:val="0"/>
          <w:numId w:val="5"/>
        </w:numPr>
        <w:tabs>
          <w:tab w:val="clear" w:pos="1134"/>
          <w:tab w:val="left" w:pos="709" w:leader="none"/>
        </w:tabs>
        <w:bidi w:val="0"/>
        <w:spacing w:before="0" w:after="0"/>
        <w:ind w:hanging="283" w:left="709"/>
        <w:jc w:val="left"/>
        <w:rPr/>
      </w:pPr>
      <w:r>
        <w:rPr/>
        <w:t>位于</w:t>
      </w:r>
      <w:r>
        <w:rPr>
          <w:rStyle w:val="Strong"/>
        </w:rPr>
        <w:t>该位姿视场边缘、正视性较低</w:t>
      </w:r>
      <w:r>
        <w:rPr/>
        <w:t>的那个分块（图中上部右侧）只获得</w:t>
      </w:r>
      <w:r>
        <w:rPr>
          <w:rStyle w:val="Strong"/>
        </w:rPr>
        <w:t>部分</w:t>
      </w:r>
      <w:r>
        <w:rPr/>
        <w:t>新增观测，覆盖比例与点密度比例提升有限，缺口等级由</w:t>
      </w:r>
      <w:r>
        <w:rPr>
          <w:rStyle w:val="Strong"/>
        </w:rPr>
        <w:t>高降为中</w:t>
      </w:r>
      <w:r>
        <w:rPr/>
        <w:t xml:space="preserve">，因此补扫后仍显示为斜线填充； </w:t>
      </w:r>
    </w:p>
    <w:p>
      <w:pPr>
        <w:pStyle w:val="BodyText"/>
        <w:numPr>
          <w:ilvl w:val="0"/>
          <w:numId w:val="5"/>
        </w:numPr>
        <w:tabs>
          <w:tab w:val="clear" w:pos="1134"/>
          <w:tab w:val="left" w:pos="709" w:leader="none"/>
        </w:tabs>
        <w:bidi w:val="0"/>
        <w:ind w:hanging="283" w:left="709"/>
        <w:jc w:val="left"/>
        <w:rPr/>
      </w:pPr>
      <w:r>
        <w:rPr/>
        <w:t>其余两个分块位于</w:t>
      </w:r>
      <w:r>
        <w:rPr>
          <w:rStyle w:val="Strong"/>
        </w:rPr>
        <w:t>视场中部、正视性较高</w:t>
      </w:r>
      <w:r>
        <w:rPr/>
        <w:t xml:space="preserve">，获得充分的新增观测，缺口等级降为低，因此显示为空白。 </w:t>
      </w:r>
    </w:p>
    <w:p>
      <w:pPr>
        <w:pStyle w:val="BodyText"/>
        <w:bidi w:val="0"/>
        <w:jc w:val="left"/>
        <w:rPr/>
      </w:pPr>
      <w:r>
        <w:rPr/>
        <w:t>也就是说，</w:t>
      </w:r>
      <w:r>
        <w:rPr>
          <w:rStyle w:val="Strong"/>
        </w:rPr>
        <w:t>单轮补充扫描并不必然把所有高缺口分块一次降到最低等级</w:t>
      </w:r>
      <w:r>
        <w:rPr/>
        <w:t>，剩余缺口需要通过多轮闭环逐步降低——这与图</w:t>
      </w:r>
      <w:r>
        <w:rPr/>
        <w:t>12"</w:t>
      </w:r>
      <w:r>
        <w:rPr/>
        <w:t>剩余缺口随轮次下降</w:t>
      </w:r>
      <w:r>
        <w:rPr/>
        <w:t>"</w:t>
      </w:r>
      <w:r>
        <w:rPr/>
        <w:t xml:space="preserve">的趋势正好呼应，也是权利要求 </w:t>
      </w:r>
      <w:r>
        <w:rPr/>
        <w:t xml:space="preserve">2 </w:t>
      </w:r>
      <w:r>
        <w:rPr/>
        <w:t>最后一步（根据新增观测更新证据后重新确定目标、重新规划）的意义所在。</w:t>
      </w:r>
    </w:p>
    <w:p>
      <w:pPr>
        <w:pStyle w:val="BodyText"/>
        <w:bidi w:val="0"/>
        <w:jc w:val="left"/>
        <w:rPr/>
      </w:pPr>
      <w:r>
        <w:rPr>
          <w:rStyle w:val="Strong"/>
        </w:rPr>
        <w:t>修改</w:t>
      </w:r>
      <w:r>
        <w:rPr/>
        <w:t>：图本身正确，</w:t>
      </w:r>
      <w:r>
        <w:rPr>
          <w:rStyle w:val="Strong"/>
        </w:rPr>
        <w:t>不作改动</w:t>
      </w:r>
      <w:r>
        <w:rPr/>
        <w:t>；在图</w:t>
      </w:r>
      <w:r>
        <w:rPr/>
        <w:t xml:space="preserve">11 </w:t>
      </w:r>
      <w:r>
        <w:rPr/>
        <w:t>附图说明中补入上述成因说明，并点明其与图</w:t>
      </w:r>
      <w:r>
        <w:rPr/>
        <w:t xml:space="preserve">12 </w:t>
      </w:r>
      <w:r>
        <w:rPr/>
        <w:t>多轮闭环的对应关系。</w:t>
      </w:r>
    </w:p>
    <w:p>
      <w:pPr>
        <w:pStyle w:val="HorizontalLine"/>
        <w:bidi w:val="0"/>
        <w:jc w:val="left"/>
        <w:rPr/>
      </w:pPr>
      <w:r>
        <w:rPr/>
      </w:r>
    </w:p>
    <w:p>
      <w:pPr>
        <w:pStyle w:val="Heading2"/>
        <w:bidi w:val="0"/>
        <w:jc w:val="left"/>
        <w:rPr/>
      </w:pPr>
      <w:r>
        <w:rPr/>
        <w:t>四、本次修订清单</w:t>
      </w:r>
    </w:p>
    <w:tbl>
      <w:tblPr>
        <w:tblW w:w="11339" w:type="dxa"/>
        <w:jc w:val="left"/>
        <w:tblInd w:w="28" w:type="dxa"/>
        <w:tblLayout w:type="fixed"/>
        <w:tblCellMar>
          <w:top w:w="28" w:type="dxa"/>
          <w:left w:w="28" w:type="dxa"/>
          <w:bottom w:w="28" w:type="dxa"/>
          <w:right w:w="28" w:type="dxa"/>
        </w:tblCellMar>
      </w:tblPr>
      <w:tblGrid>
        <w:gridCol w:w="1857"/>
        <w:gridCol w:w="8105"/>
        <w:gridCol w:w="1377"/>
      </w:tblGrid>
      <w:tr>
        <w:trPr>
          <w:tblHeader w:val="true"/>
        </w:trPr>
        <w:tc>
          <w:tcPr>
            <w:tcW w:w="1857" w:type="dxa"/>
            <w:tcBorders/>
            <w:vAlign w:val="center"/>
          </w:tcPr>
          <w:p>
            <w:pPr>
              <w:pStyle w:val="TableHeading"/>
              <w:suppressLineNumbers/>
              <w:shd w:fill="EEEEEE" w:val="clear"/>
              <w:bidi w:val="0"/>
              <w:spacing w:before="0" w:after="283"/>
              <w:jc w:val="center"/>
              <w:rPr/>
            </w:pPr>
            <w:r>
              <w:rPr/>
              <w:t>部位</w:t>
            </w:r>
          </w:p>
        </w:tc>
        <w:tc>
          <w:tcPr>
            <w:tcW w:w="8105" w:type="dxa"/>
            <w:tcBorders/>
            <w:vAlign w:val="center"/>
          </w:tcPr>
          <w:p>
            <w:pPr>
              <w:pStyle w:val="TableHeading"/>
              <w:suppressLineNumbers/>
              <w:shd w:fill="EEEEEE" w:val="clear"/>
              <w:bidi w:val="0"/>
              <w:spacing w:before="0" w:after="283"/>
              <w:jc w:val="center"/>
              <w:rPr/>
            </w:pPr>
            <w:r>
              <w:rPr/>
              <w:t>改动</w:t>
            </w:r>
          </w:p>
        </w:tc>
        <w:tc>
          <w:tcPr>
            <w:tcW w:w="1377" w:type="dxa"/>
            <w:tcBorders/>
            <w:vAlign w:val="center"/>
          </w:tcPr>
          <w:p>
            <w:pPr>
              <w:pStyle w:val="TableHeading"/>
              <w:suppressLineNumbers/>
              <w:shd w:fill="EEEEEE" w:val="clear"/>
              <w:bidi w:val="0"/>
              <w:spacing w:before="0" w:after="283"/>
              <w:jc w:val="center"/>
              <w:rPr/>
            </w:pPr>
            <w:r>
              <w:rPr/>
              <w:t>对应批注</w:t>
            </w:r>
          </w:p>
        </w:tc>
      </w:tr>
      <w:tr>
        <w:trPr/>
        <w:tc>
          <w:tcPr>
            <w:tcW w:w="1857" w:type="dxa"/>
            <w:tcBorders/>
            <w:vAlign w:val="center"/>
          </w:tcPr>
          <w:p>
            <w:pPr>
              <w:pStyle w:val="TableContents"/>
              <w:bidi w:val="0"/>
              <w:spacing w:before="0" w:after="283"/>
              <w:jc w:val="left"/>
              <w:rPr/>
            </w:pPr>
            <w:r>
              <w:rPr/>
              <w:t xml:space="preserve">权利要求 </w:t>
            </w:r>
            <w:r>
              <w:rPr/>
              <w:t>1</w:t>
            </w:r>
          </w:p>
        </w:tc>
        <w:tc>
          <w:tcPr>
            <w:tcW w:w="8105" w:type="dxa"/>
            <w:tcBorders/>
            <w:vAlign w:val="center"/>
          </w:tcPr>
          <w:p>
            <w:pPr>
              <w:pStyle w:val="TableContents"/>
              <w:bidi w:val="0"/>
              <w:spacing w:before="0" w:after="283"/>
              <w:jc w:val="left"/>
              <w:rPr/>
            </w:pPr>
            <w:r>
              <w:rPr/>
              <w:t>区域生长句重写（种子选取＋重复生长）</w:t>
            </w:r>
          </w:p>
        </w:tc>
        <w:tc>
          <w:tcPr>
            <w:tcW w:w="1377" w:type="dxa"/>
            <w:tcBorders/>
            <w:vAlign w:val="center"/>
          </w:tcPr>
          <w:p>
            <w:pPr>
              <w:pStyle w:val="TableContents"/>
              <w:bidi w:val="0"/>
              <w:spacing w:before="0" w:after="283"/>
              <w:jc w:val="left"/>
              <w:rPr/>
            </w:pPr>
            <w:r>
              <w:rPr/>
              <w:t>0</w:t>
            </w:r>
          </w:p>
        </w:tc>
      </w:tr>
      <w:tr>
        <w:trPr/>
        <w:tc>
          <w:tcPr>
            <w:tcW w:w="1857" w:type="dxa"/>
            <w:tcBorders/>
            <w:vAlign w:val="center"/>
          </w:tcPr>
          <w:p>
            <w:pPr>
              <w:pStyle w:val="TableContents"/>
              <w:bidi w:val="0"/>
              <w:spacing w:before="0" w:after="283"/>
              <w:jc w:val="left"/>
              <w:rPr/>
            </w:pPr>
            <w:r>
              <w:rPr/>
              <w:t xml:space="preserve">权利要求 </w:t>
            </w:r>
            <w:r>
              <w:rPr/>
              <w:t>1</w:t>
            </w:r>
          </w:p>
        </w:tc>
        <w:tc>
          <w:tcPr>
            <w:tcW w:w="8105" w:type="dxa"/>
            <w:tcBorders/>
            <w:vAlign w:val="center"/>
          </w:tcPr>
          <w:p>
            <w:pPr>
              <w:pStyle w:val="TableContents"/>
              <w:bidi w:val="0"/>
              <w:spacing w:before="0" w:after="283"/>
              <w:jc w:val="left"/>
              <w:rPr/>
            </w:pPr>
            <w:r>
              <w:rPr/>
              <w:t>点云关联句整句展开（点／点数／构件级点数统计／预设分配关系）</w:t>
            </w:r>
          </w:p>
        </w:tc>
        <w:tc>
          <w:tcPr>
            <w:tcW w:w="1377" w:type="dxa"/>
            <w:tcBorders/>
            <w:vAlign w:val="center"/>
          </w:tcPr>
          <w:p>
            <w:pPr>
              <w:pStyle w:val="TableContents"/>
              <w:bidi w:val="0"/>
              <w:spacing w:before="0" w:after="283"/>
              <w:jc w:val="left"/>
              <w:rPr/>
            </w:pPr>
            <w:r>
              <w:rPr/>
              <w:t>1</w:t>
            </w:r>
            <w:r>
              <w:rPr/>
              <w:t>、</w:t>
            </w:r>
            <w:r>
              <w:rPr/>
              <w:t>2</w:t>
            </w:r>
            <w:r>
              <w:rPr/>
              <w:t>、</w:t>
            </w:r>
            <w:r>
              <w:rPr/>
              <w:t>3</w:t>
            </w:r>
            <w:r>
              <w:rPr/>
              <w:t>、</w:t>
            </w:r>
            <w:r>
              <w:rPr/>
              <w:t>4</w:t>
            </w:r>
          </w:p>
        </w:tc>
      </w:tr>
      <w:tr>
        <w:trPr/>
        <w:tc>
          <w:tcPr>
            <w:tcW w:w="1857" w:type="dxa"/>
            <w:tcBorders/>
            <w:vAlign w:val="center"/>
          </w:tcPr>
          <w:p>
            <w:pPr>
              <w:pStyle w:val="TableContents"/>
              <w:bidi w:val="0"/>
              <w:spacing w:before="0" w:after="283"/>
              <w:jc w:val="left"/>
              <w:rPr/>
            </w:pPr>
            <w:r>
              <w:rPr/>
              <w:t xml:space="preserve">权利要求 </w:t>
            </w:r>
            <w:r>
              <w:rPr/>
              <w:t>7</w:t>
            </w:r>
          </w:p>
        </w:tc>
        <w:tc>
          <w:tcPr>
            <w:tcW w:w="8105" w:type="dxa"/>
            <w:tcBorders/>
            <w:vAlign w:val="center"/>
          </w:tcPr>
          <w:p>
            <w:pPr>
              <w:pStyle w:val="TableContents"/>
              <w:bidi w:val="0"/>
              <w:spacing w:before="0" w:after="283"/>
              <w:jc w:val="left"/>
              <w:rPr/>
            </w:pPr>
            <w:r>
              <w:rPr/>
              <w:t>"</w:t>
            </w:r>
            <w:r>
              <w:rPr/>
              <w:t>构件级统计分配关系</w:t>
            </w:r>
            <w:r>
              <w:rPr/>
              <w:t>"→"</w:t>
            </w:r>
            <w:r>
              <w:rPr/>
              <w:t>预设分配关系</w:t>
            </w:r>
            <w:r>
              <w:rPr/>
              <w:t>"</w:t>
            </w:r>
            <w:r>
              <w:rPr/>
              <w:t>并明确其内容</w:t>
            </w:r>
          </w:p>
        </w:tc>
        <w:tc>
          <w:tcPr>
            <w:tcW w:w="1377" w:type="dxa"/>
            <w:tcBorders/>
            <w:vAlign w:val="center"/>
          </w:tcPr>
          <w:p>
            <w:pPr>
              <w:pStyle w:val="TableContents"/>
              <w:bidi w:val="0"/>
              <w:spacing w:before="0" w:after="283"/>
              <w:jc w:val="left"/>
              <w:rPr/>
            </w:pPr>
            <w:r>
              <w:rPr/>
              <w:t>4</w:t>
            </w:r>
          </w:p>
        </w:tc>
      </w:tr>
      <w:tr>
        <w:trPr/>
        <w:tc>
          <w:tcPr>
            <w:tcW w:w="1857" w:type="dxa"/>
            <w:tcBorders/>
            <w:vAlign w:val="center"/>
          </w:tcPr>
          <w:p>
            <w:pPr>
              <w:pStyle w:val="TableContents"/>
              <w:bidi w:val="0"/>
              <w:spacing w:before="0" w:after="283"/>
              <w:jc w:val="left"/>
              <w:rPr/>
            </w:pPr>
            <w:r>
              <w:rPr/>
              <w:t xml:space="preserve">权利要求 </w:t>
            </w:r>
            <w:r>
              <w:rPr/>
              <w:t>14</w:t>
            </w:r>
            <w:r>
              <w:rPr/>
              <w:t>（系统）</w:t>
            </w:r>
          </w:p>
        </w:tc>
        <w:tc>
          <w:tcPr>
            <w:tcW w:w="8105" w:type="dxa"/>
            <w:tcBorders/>
            <w:vAlign w:val="center"/>
          </w:tcPr>
          <w:p>
            <w:pPr>
              <w:pStyle w:val="TableContents"/>
              <w:bidi w:val="0"/>
              <w:spacing w:before="0" w:after="283"/>
              <w:jc w:val="left"/>
              <w:rPr/>
            </w:pPr>
            <w:r>
              <w:rPr/>
              <w:t>点云对齐与关联模块同步展开</w:t>
            </w:r>
          </w:p>
        </w:tc>
        <w:tc>
          <w:tcPr>
            <w:tcW w:w="1377" w:type="dxa"/>
            <w:tcBorders/>
            <w:vAlign w:val="center"/>
          </w:tcPr>
          <w:p>
            <w:pPr>
              <w:pStyle w:val="TableContents"/>
              <w:bidi w:val="0"/>
              <w:spacing w:before="0" w:after="283"/>
              <w:jc w:val="left"/>
              <w:rPr/>
            </w:pPr>
            <w:r>
              <w:rPr/>
              <w:t>1</w:t>
            </w:r>
            <w:r>
              <w:rPr/>
              <w:t>、</w:t>
            </w:r>
            <w:r>
              <w:rPr/>
              <w:t>2</w:t>
            </w:r>
            <w:r>
              <w:rPr/>
              <w:t>、</w:t>
            </w:r>
            <w:r>
              <w:rPr/>
              <w:t>3</w:t>
            </w:r>
            <w:r>
              <w:rPr/>
              <w:t>、</w:t>
            </w:r>
            <w:r>
              <w:rPr/>
              <w:t>4</w:t>
            </w:r>
          </w:p>
        </w:tc>
      </w:tr>
      <w:tr>
        <w:trPr/>
        <w:tc>
          <w:tcPr>
            <w:tcW w:w="1857" w:type="dxa"/>
            <w:tcBorders/>
            <w:vAlign w:val="center"/>
          </w:tcPr>
          <w:p>
            <w:pPr>
              <w:pStyle w:val="TableContents"/>
              <w:bidi w:val="0"/>
              <w:spacing w:before="0" w:after="283"/>
              <w:jc w:val="left"/>
              <w:rPr/>
            </w:pPr>
            <w:r>
              <w:rPr/>
              <w:t xml:space="preserve">说明书 </w:t>
            </w:r>
            <w:r>
              <w:rPr/>
              <w:t>3.2</w:t>
            </w:r>
          </w:p>
        </w:tc>
        <w:tc>
          <w:tcPr>
            <w:tcW w:w="8105" w:type="dxa"/>
            <w:tcBorders/>
            <w:vAlign w:val="center"/>
          </w:tcPr>
          <w:p>
            <w:pPr>
              <w:pStyle w:val="TableContents"/>
              <w:bidi w:val="0"/>
              <w:spacing w:before="0" w:after="283"/>
              <w:jc w:val="left"/>
              <w:rPr/>
            </w:pPr>
            <w:r>
              <w:rPr/>
              <w:t xml:space="preserve">关联句同步改写，与权利要求 </w:t>
            </w:r>
            <w:r>
              <w:rPr/>
              <w:t xml:space="preserve">1 </w:t>
            </w:r>
            <w:r>
              <w:rPr/>
              <w:t>用语一致</w:t>
            </w:r>
          </w:p>
        </w:tc>
        <w:tc>
          <w:tcPr>
            <w:tcW w:w="1377" w:type="dxa"/>
            <w:tcBorders/>
            <w:vAlign w:val="center"/>
          </w:tcPr>
          <w:p>
            <w:pPr>
              <w:pStyle w:val="TableContents"/>
              <w:bidi w:val="0"/>
              <w:spacing w:before="0" w:after="283"/>
              <w:jc w:val="left"/>
              <w:rPr/>
            </w:pPr>
            <w:r>
              <w:rPr/>
              <w:t>1</w:t>
            </w:r>
            <w:r>
              <w:rPr/>
              <w:t>、</w:t>
            </w:r>
            <w:r>
              <w:rPr/>
              <w:t>2</w:t>
            </w:r>
            <w:r>
              <w:rPr/>
              <w:t>、</w:t>
            </w:r>
            <w:r>
              <w:rPr/>
              <w:t>3</w:t>
            </w:r>
            <w:r>
              <w:rPr/>
              <w:t>、</w:t>
            </w:r>
            <w:r>
              <w:rPr/>
              <w:t>4</w:t>
            </w:r>
          </w:p>
        </w:tc>
      </w:tr>
      <w:tr>
        <w:trPr/>
        <w:tc>
          <w:tcPr>
            <w:tcW w:w="1857" w:type="dxa"/>
            <w:tcBorders/>
            <w:vAlign w:val="center"/>
          </w:tcPr>
          <w:p>
            <w:pPr>
              <w:pStyle w:val="TableContents"/>
              <w:bidi w:val="0"/>
              <w:spacing w:before="0" w:after="283"/>
              <w:jc w:val="left"/>
              <w:rPr/>
            </w:pPr>
            <w:r>
              <w:rPr/>
              <w:t>说明书 公式</w:t>
            </w:r>
            <w:r>
              <w:rPr/>
              <w:t>(8)</w:t>
            </w:r>
            <w:r>
              <w:rPr/>
              <w:t>后</w:t>
            </w:r>
          </w:p>
        </w:tc>
        <w:tc>
          <w:tcPr>
            <w:tcW w:w="8105" w:type="dxa"/>
            <w:tcBorders/>
            <w:vAlign w:val="center"/>
          </w:tcPr>
          <w:p>
            <w:pPr>
              <w:pStyle w:val="TableContents"/>
              <w:bidi w:val="0"/>
              <w:spacing w:before="0" w:after="283"/>
              <w:jc w:val="left"/>
              <w:rPr/>
            </w:pPr>
            <w:r>
              <w:rPr/>
              <w:t xml:space="preserve">新增 </w:t>
            </w:r>
            <w:r>
              <w:rPr/>
              <w:t xml:space="preserve">4 </w:t>
            </w:r>
            <w:r>
              <w:rPr/>
              <w:t>段向量几何解释</w:t>
            </w:r>
          </w:p>
        </w:tc>
        <w:tc>
          <w:tcPr>
            <w:tcW w:w="1377" w:type="dxa"/>
            <w:tcBorders/>
            <w:vAlign w:val="center"/>
          </w:tcPr>
          <w:p>
            <w:pPr>
              <w:pStyle w:val="TableContents"/>
              <w:bidi w:val="0"/>
              <w:spacing w:before="0" w:after="283"/>
              <w:jc w:val="left"/>
              <w:rPr/>
            </w:pPr>
            <w:r>
              <w:rPr/>
              <w:t>5</w:t>
            </w:r>
          </w:p>
        </w:tc>
      </w:tr>
      <w:tr>
        <w:trPr/>
        <w:tc>
          <w:tcPr>
            <w:tcW w:w="1857" w:type="dxa"/>
            <w:tcBorders/>
            <w:vAlign w:val="center"/>
          </w:tcPr>
          <w:p>
            <w:pPr>
              <w:pStyle w:val="TableContents"/>
              <w:bidi w:val="0"/>
              <w:spacing w:before="0" w:after="283"/>
              <w:jc w:val="left"/>
              <w:rPr/>
            </w:pPr>
            <w:r>
              <w:rPr/>
              <w:t>说明书 公式</w:t>
            </w:r>
            <w:r>
              <w:rPr/>
              <w:t>(14)(15)</w:t>
            </w:r>
          </w:p>
        </w:tc>
        <w:tc>
          <w:tcPr>
            <w:tcW w:w="8105" w:type="dxa"/>
            <w:tcBorders/>
            <w:vAlign w:val="center"/>
          </w:tcPr>
          <w:p>
            <w:pPr>
              <w:pStyle w:val="TableContents"/>
              <w:bidi w:val="0"/>
              <w:spacing w:before="0" w:after="283"/>
              <w:jc w:val="left"/>
              <w:rPr/>
            </w:pPr>
            <w:r>
              <w:rPr/>
              <w:t>"</w:t>
            </w:r>
            <w:r>
              <w:rPr/>
              <w:t>点云观测语义分布</w:t>
            </w:r>
            <w:r>
              <w:rPr/>
              <w:t>"→"</w:t>
            </w:r>
            <w:r>
              <w:rPr/>
              <w:t>点云分类标签映射得到的语义分布</w:t>
            </w:r>
            <w:r>
              <w:rPr/>
              <w:t>"</w:t>
            </w:r>
          </w:p>
        </w:tc>
        <w:tc>
          <w:tcPr>
            <w:tcW w:w="1377" w:type="dxa"/>
            <w:tcBorders/>
            <w:vAlign w:val="center"/>
          </w:tcPr>
          <w:p>
            <w:pPr>
              <w:pStyle w:val="TableContents"/>
              <w:bidi w:val="0"/>
              <w:spacing w:before="0" w:after="283"/>
              <w:jc w:val="left"/>
              <w:rPr/>
            </w:pPr>
            <w:r>
              <w:rPr/>
              <w:t>1</w:t>
            </w:r>
            <w:r>
              <w:rPr/>
              <w:t>（术语统一）</w:t>
            </w:r>
          </w:p>
        </w:tc>
      </w:tr>
      <w:tr>
        <w:trPr/>
        <w:tc>
          <w:tcPr>
            <w:tcW w:w="1857" w:type="dxa"/>
            <w:tcBorders/>
            <w:vAlign w:val="center"/>
          </w:tcPr>
          <w:p>
            <w:pPr>
              <w:pStyle w:val="TableContents"/>
              <w:bidi w:val="0"/>
              <w:spacing w:before="0" w:after="283"/>
              <w:jc w:val="left"/>
              <w:rPr/>
            </w:pPr>
            <w:r>
              <w:rPr/>
              <w:t>图</w:t>
            </w:r>
            <w:r>
              <w:rPr/>
              <w:t xml:space="preserve">4 + </w:t>
            </w:r>
            <w:r>
              <w:rPr/>
              <w:t>说明</w:t>
            </w:r>
          </w:p>
        </w:tc>
        <w:tc>
          <w:tcPr>
            <w:tcW w:w="8105" w:type="dxa"/>
            <w:tcBorders/>
            <w:vAlign w:val="center"/>
          </w:tcPr>
          <w:p>
            <w:pPr>
              <w:pStyle w:val="TableContents"/>
              <w:bidi w:val="0"/>
              <w:spacing w:before="0" w:after="283"/>
              <w:jc w:val="left"/>
              <w:rPr/>
            </w:pPr>
            <w:r>
              <w:rPr/>
              <w:t>重画（真实共享边、填充区分、两项法向约束）</w:t>
            </w:r>
          </w:p>
        </w:tc>
        <w:tc>
          <w:tcPr>
            <w:tcW w:w="1377" w:type="dxa"/>
            <w:tcBorders/>
            <w:vAlign w:val="center"/>
          </w:tcPr>
          <w:p>
            <w:pPr>
              <w:pStyle w:val="TableContents"/>
              <w:bidi w:val="0"/>
              <w:spacing w:before="0" w:after="283"/>
              <w:jc w:val="left"/>
              <w:rPr/>
            </w:pPr>
            <w:r>
              <w:rPr/>
              <w:t>6</w:t>
            </w:r>
          </w:p>
        </w:tc>
      </w:tr>
      <w:tr>
        <w:trPr/>
        <w:tc>
          <w:tcPr>
            <w:tcW w:w="1857" w:type="dxa"/>
            <w:tcBorders/>
            <w:vAlign w:val="center"/>
          </w:tcPr>
          <w:p>
            <w:pPr>
              <w:pStyle w:val="TableContents"/>
              <w:bidi w:val="0"/>
              <w:spacing w:before="0" w:after="283"/>
              <w:jc w:val="left"/>
              <w:rPr/>
            </w:pPr>
            <w:r>
              <w:rPr/>
              <w:t>图</w:t>
            </w:r>
            <w:r>
              <w:rPr/>
              <w:t xml:space="preserve">5 + </w:t>
            </w:r>
            <w:r>
              <w:rPr/>
              <w:t>说明</w:t>
            </w:r>
          </w:p>
        </w:tc>
        <w:tc>
          <w:tcPr>
            <w:tcW w:w="8105" w:type="dxa"/>
            <w:tcBorders/>
            <w:vAlign w:val="center"/>
          </w:tcPr>
          <w:p>
            <w:pPr>
              <w:pStyle w:val="TableContents"/>
              <w:bidi w:val="0"/>
              <w:spacing w:before="0" w:after="283"/>
              <w:jc w:val="left"/>
              <w:rPr/>
            </w:pPr>
            <w:r>
              <w:rPr/>
              <w:t>重画（</w:t>
            </w:r>
            <w:r>
              <w:rPr/>
              <w:t xml:space="preserve">IFC </w:t>
            </w:r>
            <w:r>
              <w:rPr/>
              <w:t>表面、</w:t>
            </w:r>
            <w:r>
              <w:rPr/>
              <w:t xml:space="preserve">±τ_d </w:t>
            </w:r>
            <w:r>
              <w:rPr/>
              <w:t>平行虚线、带内外实心</w:t>
            </w:r>
            <w:r>
              <w:rPr/>
              <w:t>/</w:t>
            </w:r>
            <w:r>
              <w:rPr/>
              <w:t>空心、对齐前后对照）</w:t>
            </w:r>
          </w:p>
        </w:tc>
        <w:tc>
          <w:tcPr>
            <w:tcW w:w="1377" w:type="dxa"/>
            <w:tcBorders/>
            <w:vAlign w:val="center"/>
          </w:tcPr>
          <w:p>
            <w:pPr>
              <w:pStyle w:val="TableContents"/>
              <w:bidi w:val="0"/>
              <w:spacing w:before="0" w:after="283"/>
              <w:jc w:val="left"/>
              <w:rPr/>
            </w:pPr>
            <w:r>
              <w:rPr/>
              <w:t>7</w:t>
            </w:r>
            <w:r>
              <w:rPr/>
              <w:t>、</w:t>
            </w:r>
            <w:r>
              <w:rPr/>
              <w:t>8</w:t>
            </w:r>
          </w:p>
        </w:tc>
      </w:tr>
      <w:tr>
        <w:trPr/>
        <w:tc>
          <w:tcPr>
            <w:tcW w:w="1857" w:type="dxa"/>
            <w:tcBorders/>
            <w:vAlign w:val="center"/>
          </w:tcPr>
          <w:p>
            <w:pPr>
              <w:pStyle w:val="TableContents"/>
              <w:bidi w:val="0"/>
              <w:spacing w:before="0" w:after="283"/>
              <w:jc w:val="left"/>
              <w:rPr/>
            </w:pPr>
            <w:r>
              <w:rPr/>
              <w:t>图</w:t>
            </w:r>
            <w:r>
              <w:rPr/>
              <w:t xml:space="preserve">8 + </w:t>
            </w:r>
            <w:r>
              <w:rPr/>
              <w:t>说明</w:t>
            </w:r>
          </w:p>
        </w:tc>
        <w:tc>
          <w:tcPr>
            <w:tcW w:w="8105" w:type="dxa"/>
            <w:tcBorders/>
            <w:vAlign w:val="center"/>
          </w:tcPr>
          <w:p>
            <w:pPr>
              <w:pStyle w:val="TableContents"/>
              <w:bidi w:val="0"/>
              <w:spacing w:before="0" w:after="283"/>
              <w:jc w:val="left"/>
              <w:rPr/>
            </w:pPr>
            <w:r>
              <w:rPr/>
              <w:t>重画（候选位姿落在三层弧线上、清理重叠、增图例）</w:t>
            </w:r>
          </w:p>
        </w:tc>
        <w:tc>
          <w:tcPr>
            <w:tcW w:w="1377" w:type="dxa"/>
            <w:tcBorders/>
            <w:vAlign w:val="center"/>
          </w:tcPr>
          <w:p>
            <w:pPr>
              <w:pStyle w:val="TableContents"/>
              <w:bidi w:val="0"/>
              <w:spacing w:before="0" w:after="283"/>
              <w:jc w:val="left"/>
              <w:rPr/>
            </w:pPr>
            <w:r>
              <w:rPr/>
              <w:t>9</w:t>
            </w:r>
          </w:p>
        </w:tc>
      </w:tr>
      <w:tr>
        <w:trPr/>
        <w:tc>
          <w:tcPr>
            <w:tcW w:w="1857" w:type="dxa"/>
            <w:tcBorders/>
            <w:vAlign w:val="center"/>
          </w:tcPr>
          <w:p>
            <w:pPr>
              <w:pStyle w:val="TableContents"/>
              <w:bidi w:val="0"/>
              <w:spacing w:before="0" w:after="283"/>
              <w:jc w:val="left"/>
              <w:rPr/>
            </w:pPr>
            <w:r>
              <w:rPr/>
              <w:t>图</w:t>
            </w:r>
            <w:r>
              <w:rPr/>
              <w:t xml:space="preserve">11 </w:t>
            </w:r>
            <w:r>
              <w:rPr/>
              <w:t>说明</w:t>
            </w:r>
          </w:p>
        </w:tc>
        <w:tc>
          <w:tcPr>
            <w:tcW w:w="8105" w:type="dxa"/>
            <w:tcBorders/>
            <w:vAlign w:val="center"/>
          </w:tcPr>
          <w:p>
            <w:pPr>
              <w:pStyle w:val="TableContents"/>
              <w:bidi w:val="0"/>
              <w:spacing w:before="0" w:after="283"/>
              <w:jc w:val="left"/>
              <w:rPr/>
            </w:pPr>
            <w:r>
              <w:rPr/>
              <w:t>补充部分恢复的成因说明（图不变）</w:t>
            </w:r>
          </w:p>
        </w:tc>
        <w:tc>
          <w:tcPr>
            <w:tcW w:w="1377" w:type="dxa"/>
            <w:tcBorders/>
            <w:vAlign w:val="center"/>
          </w:tcPr>
          <w:p>
            <w:pPr>
              <w:pStyle w:val="TableContents"/>
              <w:bidi w:val="0"/>
              <w:spacing w:before="0" w:after="283"/>
              <w:jc w:val="left"/>
              <w:rPr/>
            </w:pPr>
            <w:r>
              <w:rPr/>
              <w:t>10</w:t>
            </w:r>
          </w:p>
        </w:tc>
      </w:tr>
      <w:tr>
        <w:trPr/>
        <w:tc>
          <w:tcPr>
            <w:tcW w:w="1857" w:type="dxa"/>
            <w:tcBorders/>
            <w:vAlign w:val="center"/>
          </w:tcPr>
          <w:p>
            <w:pPr>
              <w:pStyle w:val="TableContents"/>
              <w:bidi w:val="0"/>
              <w:spacing w:before="0" w:after="283"/>
              <w:jc w:val="left"/>
              <w:rPr/>
            </w:pPr>
            <w:r>
              <w:rPr/>
              <w:t xml:space="preserve">权利要求 </w:t>
            </w:r>
            <w:r>
              <w:rPr/>
              <w:t>14</w:t>
            </w:r>
            <w:r>
              <w:rPr/>
              <w:t>（系统）</w:t>
            </w:r>
          </w:p>
        </w:tc>
        <w:tc>
          <w:tcPr>
            <w:tcW w:w="8105" w:type="dxa"/>
            <w:tcBorders/>
            <w:vAlign w:val="center"/>
          </w:tcPr>
          <w:p>
            <w:pPr>
              <w:pStyle w:val="TableContents"/>
              <w:bidi w:val="0"/>
              <w:spacing w:before="0" w:after="283"/>
              <w:jc w:val="left"/>
              <w:rPr/>
            </w:pPr>
            <w:r>
              <w:rPr/>
              <w:t xml:space="preserve">由 </w:t>
            </w:r>
            <w:r>
              <w:rPr/>
              <w:t xml:space="preserve">IFC </w:t>
            </w:r>
            <w:r>
              <w:rPr/>
              <w:t>解析模块引入</w:t>
            </w:r>
            <w:r>
              <w:rPr/>
              <w:t xml:space="preserve">"IFC </w:t>
            </w:r>
            <w:r>
              <w:rPr/>
              <w:t>模型</w:t>
            </w:r>
            <w:r>
              <w:rPr/>
              <w:t>"</w:t>
            </w:r>
            <w:r>
              <w:rPr/>
              <w:t>、由点云关联模块引入</w:t>
            </w:r>
            <w:r>
              <w:rPr/>
              <w:t>"</w:t>
            </w:r>
            <w:r>
              <w:rPr/>
              <w:t>三维点云</w:t>
            </w:r>
            <w:r>
              <w:rPr/>
              <w:t>"</w:t>
            </w:r>
            <w:r>
              <w:rPr/>
              <w:t>，补足其后</w:t>
            </w:r>
            <w:r>
              <w:rPr/>
              <w:t>"</w:t>
            </w:r>
            <w:r>
              <w:rPr/>
              <w:t>所述……</w:t>
            </w:r>
            <w:r>
              <w:rPr/>
              <w:t>"</w:t>
            </w:r>
            <w:r>
              <w:rPr/>
              <w:t>的引用基础</w:t>
            </w:r>
          </w:p>
        </w:tc>
        <w:tc>
          <w:tcPr>
            <w:tcW w:w="1377" w:type="dxa"/>
            <w:tcBorders/>
            <w:vAlign w:val="center"/>
          </w:tcPr>
          <w:p>
            <w:pPr>
              <w:pStyle w:val="TableContents"/>
              <w:bidi w:val="0"/>
              <w:spacing w:before="0" w:after="283"/>
              <w:jc w:val="left"/>
              <w:rPr/>
            </w:pPr>
            <w:r>
              <w:rPr/>
              <w:t>复核自查</w:t>
            </w:r>
          </w:p>
        </w:tc>
      </w:tr>
      <w:tr>
        <w:trPr/>
        <w:tc>
          <w:tcPr>
            <w:tcW w:w="1857" w:type="dxa"/>
            <w:tcBorders/>
            <w:vAlign w:val="center"/>
          </w:tcPr>
          <w:p>
            <w:pPr>
              <w:pStyle w:val="TableContents"/>
              <w:bidi w:val="0"/>
              <w:spacing w:before="0" w:after="283"/>
              <w:jc w:val="left"/>
              <w:rPr/>
            </w:pPr>
            <w:r>
              <w:rPr/>
              <w:t xml:space="preserve">权利要求 </w:t>
            </w:r>
            <w:r>
              <w:rPr/>
              <w:t>12</w:t>
            </w:r>
          </w:p>
        </w:tc>
        <w:tc>
          <w:tcPr>
            <w:tcW w:w="8105" w:type="dxa"/>
            <w:tcBorders/>
            <w:vAlign w:val="center"/>
          </w:tcPr>
          <w:p>
            <w:pPr>
              <w:pStyle w:val="TableContents"/>
              <w:bidi w:val="0"/>
              <w:spacing w:before="0" w:after="283"/>
              <w:jc w:val="left"/>
              <w:rPr/>
            </w:pPr>
            <w:r>
              <w:rPr/>
              <w:t>"</w:t>
            </w:r>
            <w:r>
              <w:rPr/>
              <w:t>所述可用指标集合</w:t>
            </w:r>
            <w:r>
              <w:rPr/>
              <w:t>"</w:t>
            </w:r>
            <w:r>
              <w:rPr/>
              <w:t xml:space="preserve">改为与权利要求 </w:t>
            </w:r>
            <w:r>
              <w:rPr/>
              <w:t xml:space="preserve">1 </w:t>
            </w:r>
            <w:r>
              <w:rPr/>
              <w:t>一致的</w:t>
            </w:r>
            <w:r>
              <w:rPr/>
              <w:t>"</w:t>
            </w:r>
            <w:r>
              <w:rPr/>
              <w:t>所述实际可用的缺口指标集合</w:t>
            </w:r>
            <w:r>
              <w:rPr/>
              <w:t>"</w:t>
            </w:r>
          </w:p>
        </w:tc>
        <w:tc>
          <w:tcPr>
            <w:tcW w:w="1377" w:type="dxa"/>
            <w:tcBorders/>
            <w:vAlign w:val="center"/>
          </w:tcPr>
          <w:p>
            <w:pPr>
              <w:pStyle w:val="TableContents"/>
              <w:bidi w:val="0"/>
              <w:spacing w:before="0" w:after="283"/>
              <w:jc w:val="left"/>
              <w:rPr/>
            </w:pPr>
            <w:r>
              <w:rPr/>
              <w:t>复核自查</w:t>
            </w:r>
          </w:p>
        </w:tc>
      </w:tr>
      <w:tr>
        <w:trPr/>
        <w:tc>
          <w:tcPr>
            <w:tcW w:w="1857" w:type="dxa"/>
            <w:tcBorders/>
            <w:vAlign w:val="center"/>
          </w:tcPr>
          <w:p>
            <w:pPr>
              <w:pStyle w:val="TableContents"/>
              <w:bidi w:val="0"/>
              <w:spacing w:before="0" w:after="283"/>
              <w:jc w:val="left"/>
              <w:rPr/>
            </w:pPr>
            <w:r>
              <w:rPr/>
              <w:t>图</w:t>
            </w:r>
            <w:r>
              <w:rPr/>
              <w:t xml:space="preserve">2 </w:t>
            </w:r>
            <w:r>
              <w:rPr/>
              <w:t>说明</w:t>
            </w:r>
          </w:p>
        </w:tc>
        <w:tc>
          <w:tcPr>
            <w:tcW w:w="8105" w:type="dxa"/>
            <w:tcBorders/>
            <w:vAlign w:val="center"/>
          </w:tcPr>
          <w:p>
            <w:pPr>
              <w:pStyle w:val="TableContents"/>
              <w:bidi w:val="0"/>
              <w:spacing w:before="0" w:after="283"/>
              <w:jc w:val="left"/>
              <w:rPr/>
            </w:pPr>
            <w:r>
              <w:rPr/>
              <w:t xml:space="preserve">补入图中九个方框标注与权利要求 </w:t>
            </w:r>
            <w:r>
              <w:rPr/>
              <w:t>14</w:t>
            </w:r>
            <w:r>
              <w:rPr/>
              <w:t>、</w:t>
            </w:r>
            <w:r>
              <w:rPr/>
              <w:t xml:space="preserve">15 </w:t>
            </w:r>
            <w:r>
              <w:rPr/>
              <w:t>各模块的一一对应关系</w:t>
            </w:r>
          </w:p>
        </w:tc>
        <w:tc>
          <w:tcPr>
            <w:tcW w:w="1377" w:type="dxa"/>
            <w:tcBorders/>
            <w:vAlign w:val="center"/>
          </w:tcPr>
          <w:p>
            <w:pPr>
              <w:pStyle w:val="TableContents"/>
              <w:bidi w:val="0"/>
              <w:spacing w:before="0" w:after="283"/>
              <w:jc w:val="left"/>
              <w:rPr/>
            </w:pPr>
            <w:r>
              <w:rPr/>
              <w:t>复核自查</w:t>
            </w:r>
          </w:p>
        </w:tc>
      </w:tr>
    </w:tbl>
    <w:p>
      <w:pPr>
        <w:pStyle w:val="BodyText"/>
        <w:bidi w:val="0"/>
        <w:jc w:val="left"/>
        <w:rPr/>
      </w:pPr>
      <w:r>
        <w:rPr>
          <w:rStyle w:val="Strong"/>
        </w:rPr>
        <w:t>未改动</w:t>
      </w:r>
      <w:r>
        <w:rPr/>
        <w:t>：说明书摘要、技术领域、背景技术、</w:t>
      </w:r>
      <w:r>
        <w:rPr/>
        <w:t xml:space="preserve">3.1 </w:t>
      </w:r>
      <w:r>
        <w:rPr/>
        <w:t>要解决的技术问题、</w:t>
      </w:r>
      <w:r>
        <w:rPr/>
        <w:t xml:space="preserve">3.3 </w:t>
      </w:r>
      <w:r>
        <w:rPr/>
        <w:t>有益效果、公式（</w:t>
      </w:r>
      <w:r>
        <w:rPr/>
        <w:t>1</w:t>
      </w:r>
      <w:r>
        <w:rPr/>
        <w:t>）～（</w:t>
      </w:r>
      <w:r>
        <w:rPr/>
        <w:t>25</w:t>
      </w:r>
      <w:r>
        <w:rPr/>
        <w:t xml:space="preserve">）本身、实施例 </w:t>
      </w:r>
      <w:r>
        <w:rPr/>
        <w:t>1</w:t>
      </w:r>
      <w:r>
        <w:rPr/>
        <w:t>～</w:t>
      </w:r>
      <w:r>
        <w:rPr/>
        <w:t>13</w:t>
      </w:r>
      <w:r>
        <w:rPr/>
        <w:t>、图</w:t>
      </w:r>
      <w:r>
        <w:rPr/>
        <w:t>1</w:t>
      </w:r>
      <w:r>
        <w:rPr/>
        <w:t>／</w:t>
      </w:r>
      <w:r>
        <w:rPr/>
        <w:t>2</w:t>
      </w:r>
      <w:r>
        <w:rPr/>
        <w:t>／</w:t>
      </w:r>
      <w:r>
        <w:rPr/>
        <w:t>3</w:t>
      </w:r>
      <w:r>
        <w:rPr/>
        <w:t>／</w:t>
      </w:r>
      <w:r>
        <w:rPr/>
        <w:t>6</w:t>
      </w:r>
      <w:r>
        <w:rPr/>
        <w:t>／</w:t>
      </w:r>
      <w:r>
        <w:rPr/>
        <w:t>7</w:t>
      </w:r>
      <w:r>
        <w:rPr/>
        <w:t>／</w:t>
      </w:r>
      <w:r>
        <w:rPr/>
        <w:t>9</w:t>
      </w:r>
      <w:r>
        <w:rPr/>
        <w:t>／</w:t>
      </w:r>
      <w:r>
        <w:rPr/>
        <w:t>10</w:t>
      </w:r>
      <w:r>
        <w:rPr/>
        <w:t>／</w:t>
      </w:r>
      <w:r>
        <w:rPr/>
        <w:t>11</w:t>
      </w:r>
      <w:r>
        <w:rPr/>
        <w:t>／</w:t>
      </w:r>
      <w:r>
        <w:rPr/>
        <w:t>12</w:t>
      </w:r>
      <w:r>
        <w:rPr/>
        <w:t>／</w:t>
      </w:r>
      <w:r>
        <w:rPr/>
        <w:t xml:space="preserve">13 </w:t>
      </w:r>
      <w:r>
        <w:rPr/>
        <w:t>的图形内容，均与上一版逐字一致。</w:t>
      </w:r>
    </w:p>
    <w:p>
      <w:pPr>
        <w:pStyle w:val="BodyText"/>
        <w:bidi w:val="0"/>
        <w:jc w:val="left"/>
        <w:rPr/>
      </w:pPr>
      <w:r>
        <w:rPr/>
        <w:t xml:space="preserve">权利要求仍为 </w:t>
      </w:r>
      <w:r>
        <w:rPr/>
        <w:t xml:space="preserve">18 </w:t>
      </w:r>
      <w:r>
        <w:rPr/>
        <w:t>项（</w:t>
      </w:r>
      <w:r>
        <w:rPr/>
        <w:t>1</w:t>
      </w:r>
      <w:r>
        <w:rPr/>
        <w:t>～</w:t>
      </w:r>
      <w:r>
        <w:rPr/>
        <w:t xml:space="preserve">13 </w:t>
      </w:r>
      <w:r>
        <w:rPr/>
        <w:t>方法、</w:t>
      </w:r>
      <w:r>
        <w:rPr/>
        <w:t>14</w:t>
      </w:r>
      <w:r>
        <w:rPr/>
        <w:t>～</w:t>
      </w:r>
      <w:r>
        <w:rPr/>
        <w:t xml:space="preserve">15 </w:t>
      </w:r>
      <w:r>
        <w:rPr/>
        <w:t>系统、</w:t>
      </w:r>
      <w:r>
        <w:rPr/>
        <w:t>16</w:t>
      </w:r>
      <w:r>
        <w:rPr/>
        <w:t>～</w:t>
      </w:r>
      <w:r>
        <w:rPr/>
        <w:t xml:space="preserve">18 </w:t>
      </w:r>
      <w:r>
        <w:rPr/>
        <w:t>设备／介质／程序产品），编号、依赖关系与引用范围未变。</w:t>
      </w:r>
    </w:p>
    <w:p>
      <w:pPr>
        <w:pStyle w:val="HorizontalLine"/>
        <w:bidi w:val="0"/>
        <w:jc w:val="left"/>
        <w:rPr/>
      </w:pPr>
      <w:r>
        <w:rPr/>
      </w:r>
    </w:p>
    <w:p>
      <w:pPr>
        <w:pStyle w:val="Heading2"/>
        <w:bidi w:val="0"/>
        <w:jc w:val="left"/>
        <w:rPr/>
      </w:pPr>
      <w:r>
        <w:rPr/>
        <w:t>五、提请注意</w:t>
      </w:r>
    </w:p>
    <w:p>
      <w:pPr>
        <w:pStyle w:val="BodyText"/>
        <w:numPr>
          <w:ilvl w:val="0"/>
          <w:numId w:val="6"/>
        </w:numPr>
        <w:tabs>
          <w:tab w:val="clear" w:pos="1134"/>
          <w:tab w:val="left" w:pos="709" w:leader="none"/>
        </w:tabs>
        <w:bidi w:val="0"/>
        <w:spacing w:before="0" w:after="0"/>
        <w:ind w:hanging="283" w:left="709"/>
        <w:jc w:val="left"/>
        <w:rPr/>
      </w:pPr>
      <w:r>
        <w:rPr/>
        <w:t>本次为</w:t>
      </w:r>
      <w:r>
        <w:rPr>
          <w:rStyle w:val="Strong"/>
        </w:rPr>
        <w:t>申请前</w:t>
      </w:r>
      <w:r>
        <w:rPr/>
        <w:t xml:space="preserve">修改，不受专利法第 </w:t>
      </w:r>
      <w:r>
        <w:rPr/>
        <w:t xml:space="preserve">33 </w:t>
      </w:r>
      <w:r>
        <w:rPr/>
        <w:t>条</w:t>
      </w:r>
      <w:r>
        <w:rPr/>
        <w:t>"</w:t>
      </w:r>
      <w:r>
        <w:rPr/>
        <w:t>不得超出原始记载范围</w:t>
      </w:r>
      <w:r>
        <w:rPr/>
        <w:t>"</w:t>
      </w:r>
      <w:r>
        <w:rPr/>
        <w:t xml:space="preserve">限制。说明书补充解释与附图重画在递交后将无法再做，如对图形表达仍有意见，请在递交前一并提出。 </w:t>
      </w:r>
    </w:p>
    <w:p>
      <w:pPr>
        <w:pStyle w:val="BodyText"/>
        <w:numPr>
          <w:ilvl w:val="0"/>
          <w:numId w:val="6"/>
        </w:numPr>
        <w:tabs>
          <w:tab w:val="clear" w:pos="1134"/>
          <w:tab w:val="left" w:pos="709" w:leader="none"/>
        </w:tabs>
        <w:bidi w:val="0"/>
        <w:spacing w:before="0" w:after="283"/>
        <w:ind w:hanging="283" w:left="709"/>
        <w:jc w:val="left"/>
        <w:rPr/>
      </w:pPr>
      <w:r>
        <w:rPr/>
        <w:t>发明名称未改动，仍为</w:t>
      </w:r>
      <w:r>
        <w:rPr/>
        <w:t>"……</w:t>
      </w:r>
      <w:r>
        <w:rPr/>
        <w:t>缺口检测及补充扫描视点规划方法</w:t>
      </w:r>
      <w:r>
        <w:rPr/>
        <w:t>"</w:t>
      </w:r>
      <w:r>
        <w:rPr/>
        <w:t>。若认为应与权利要求类别完全对应（现含系统、设备、介质、程序产品），可改为</w:t>
      </w:r>
      <w:r>
        <w:rPr/>
        <w:t>"……</w:t>
      </w:r>
      <w:r>
        <w:rPr/>
        <w:t>方法、系统及存储介质</w:t>
      </w:r>
      <w:r>
        <w:rPr/>
        <w:t>"</w:t>
      </w:r>
      <w:r>
        <w:rPr/>
        <w:t xml:space="preserve">，请示下后统一修改。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CJK SC">
    <w:altName w:val="SimSun"/>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Noto Sans CJK SC;SimSun;sans-serif" w:hAnsi="Noto Sans CJK SC;SimSun;sans-serif" w:eastAsia="Noto Sans CJK SC;SimSun;sans-serif" w:cs="Noto Sans CJK SC;SimSun;sans-serif"/>
      <w:color w:val="auto"/>
      <w:sz w:val="22"/>
      <w:szCs w:val="22"/>
      <w:lang w:val="en-US" w:eastAsia="zh-CN" w:bidi="hi-IN"/>
    </w:rPr>
  </w:style>
  <w:style w:type="paragraph" w:styleId="Heading1">
    <w:name w:val="heading 1"/>
    <w:basedOn w:val="Heading"/>
    <w:next w:val="BodyText"/>
    <w:qFormat/>
    <w:pPr/>
    <w:rPr>
      <w:b/>
      <w:bCs/>
      <w:sz w:val="36"/>
      <w:szCs w:val="36"/>
    </w:rPr>
  </w:style>
  <w:style w:type="paragraph" w:styleId="Heading2">
    <w:name w:val="heading 2"/>
    <w:basedOn w:val="Heading"/>
    <w:next w:val="BodyText"/>
    <w:qFormat/>
    <w:pPr>
      <w:spacing w:before="360" w:after="120"/>
      <w:outlineLvl w:val="1"/>
    </w:pPr>
    <w:rPr>
      <w:rFonts w:ascii="Liberation Serif" w:hAnsi="Liberation Serif" w:eastAsia="Noto Serif CJK SC" w:cs="Lohit Devanagari"/>
      <w:b/>
      <w:bCs/>
      <w:sz w:val="28"/>
      <w:szCs w:val="28"/>
    </w:rPr>
  </w:style>
  <w:style w:type="paragraph" w:styleId="Heading3">
    <w:name w:val="heading 3"/>
    <w:basedOn w:val="Heading"/>
    <w:next w:val="BodyText"/>
    <w:qFormat/>
    <w:pPr>
      <w:spacing w:before="280" w:after="120"/>
      <w:outlineLvl w:val="2"/>
    </w:pPr>
    <w:rPr>
      <w:rFonts w:ascii="Liberation Serif" w:hAnsi="Liberation Serif" w:eastAsia="Noto Serif CJK SC" w:cs="Lohit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EEEEEE" w:val="clear"/>
      <w:jc w:val="center"/>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