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 w:eastAsia="SimHei"/>
          <w:sz w:val="32"/>
        </w:rPr>
        <w:t>附图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6596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总体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596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1　总体流程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811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可通行空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1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2　可通行空间构建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5069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候选站位与距离层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3　候选补充扫描站位与距离层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6006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在线遮挡发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00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4　在线发现模型外遮挡物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4223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等代价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42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5　剩余预算的等代价边界</w:t>
      </w:r>
    </w:p>
    <w:p>
      <w:pPr>
        <w:keepNext/>
        <w:keepLines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7103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目标分块选取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1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SimHei" w:hAnsi="SimHei" w:eastAsia="SimHei"/>
          <w:b/>
          <w:sz w:val="20"/>
        </w:rPr>
        <w:t>图 6　有缺口构件的目标表面分块选取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