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D 实验与证据追溯表（内部文件，不随专利正文提交）</w:t>
      </w:r>
    </w:p>
    <w:p>
      <w:pPr>
        <w:spacing w:after="80"/>
        <w:jc w:val="both"/>
      </w:pPr>
      <w:r>
        <w:rPr>
          <w:rFonts w:ascii="SimSun" w:hAnsi="SimSun" w:eastAsia="SimSun"/>
        </w:rPr>
        <w:t xml:space="preserve">代码基线 </w:t>
      </w:r>
      <w:r>
        <w:rPr>
          <w:rFonts w:ascii="Consolas" w:hAnsi="Consolas" w:eastAsia="Consolas"/>
          <w:sz w:val="18"/>
        </w:rPr>
        <w:t>025bb7d</w:t>
      </w:r>
      <w:r>
        <w:rPr>
          <w:rFonts w:ascii="SimSun" w:hAnsi="SimSun" w:eastAsia="SimSun"/>
        </w:rPr>
        <w:t>。本表是说明书"有益效果"一节每一处数字的来源，也是判断哪些表述可用、哪些禁止使用的唯一依据。</w:t>
      </w:r>
    </w:p>
    <w:p>
      <w:pPr>
        <w:spacing w:after="80"/>
        <w:jc w:val="both"/>
      </w:pPr>
      <w:r>
        <w:rPr>
          <w:rFonts w:ascii="SimSun" w:hAnsi="SimSun" w:eastAsia="SimSun"/>
          <w:b/>
        </w:rPr>
        <w:t>证据等级</w:t>
      </w:r>
      <w:r>
        <w:rPr>
          <w:rFonts w:ascii="SimSun" w:hAnsi="SimSun" w:eastAsia="SimSun"/>
        </w:rPr>
        <w:t>：</w:t>
      </w:r>
      <w:r>
        <w:rPr>
          <w:rFonts w:ascii="SimSun" w:hAnsi="SimSun" w:eastAsia="SimSun"/>
          <w:b/>
        </w:rPr>
        <w:t>[A]</w:t>
      </w:r>
      <w:r>
        <w:rPr>
          <w:rFonts w:ascii="SimSun" w:hAnsi="SimSun" w:eastAsia="SimSun"/>
        </w:rPr>
        <w:t xml:space="preserve"> 材料明确支持 ｜ </w:t>
      </w:r>
      <w:r>
        <w:rPr>
          <w:rFonts w:ascii="SimSun" w:hAnsi="SimSun" w:eastAsia="SimSun"/>
          <w:b/>
        </w:rPr>
        <w:t>[B]</w:t>
      </w:r>
      <w:r>
        <w:rPr>
          <w:rFonts w:ascii="SimSun" w:hAnsi="SimSun" w:eastAsia="SimSun"/>
        </w:rPr>
        <w:t xml:space="preserve"> 可由材料合理推出 ｜</w:t>
      </w:r>
      <w:r>
        <w:rPr>
          <w:rFonts w:ascii="SimSun" w:hAnsi="SimSun" w:eastAsia="SimSun"/>
          <w:b/>
        </w:rPr>
        <w:t>[C]</w:t>
      </w:r>
      <w:r>
        <w:rPr>
          <w:rFonts w:ascii="SimSun" w:hAnsi="SimSun" w:eastAsia="SimSun"/>
        </w:rPr>
        <w:t xml:space="preserve"> 为完整性建议补充，未实现 ｜ </w:t>
      </w:r>
      <w:r>
        <w:rPr>
          <w:rFonts w:ascii="SimSun" w:hAnsi="SimSun" w:eastAsia="SimSun"/>
          <w:b/>
        </w:rPr>
        <w:t>[D]</w:t>
      </w:r>
      <w:r>
        <w:rPr>
          <w:rFonts w:ascii="SimSun" w:hAnsi="SimSun" w:eastAsia="SimSun"/>
        </w:rPr>
        <w:t xml:space="preserve"> 材料不足以确定</w:t>
      </w:r>
    </w:p>
    <w:p>
      <w:pPr>
        <w:pStyle w:val="Heading2"/>
        <w:spacing w:before="200" w:after="80"/>
      </w:pPr>
      <w:r>
        <w:rPr>
          <w:rFonts w:ascii="SimHei" w:hAnsi="SimHei" w:eastAsia="SimHei"/>
          <w:color w:val="000000"/>
          <w:sz w:val="27"/>
        </w:rPr>
        <w:t>1. 主张—证据对照</w:t>
      </w:r>
    </w:p>
    <w:p>
      <w:pPr>
        <w:pStyle w:val="Heading3"/>
        <w:spacing w:before="120" w:after="80"/>
      </w:pPr>
      <w:r>
        <w:rPr>
          <w:rFonts w:ascii="SimHei" w:hAnsi="SimHei" w:eastAsia="SimHei"/>
          <w:color w:val="000000"/>
          <w:sz w:val="24"/>
        </w:rPr>
        <w:t>1.1 在线遮挡发现降低可见性预测误差</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并入发现体素后，候选站位对表面分块的可见性预测的平均绝对误差降低 2.7–8.7 倍</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遮挡发现可见性误差专项测量</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个随机种子 × 7 个网格视点 × 约 500 个表面分块；设置 6 个模型外遮挡物</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c631abc</w:t>
            </w:r>
            <w:r>
              <w:rPr>
                <w:rFonts w:ascii="SimSun" w:hAnsi="SimSun" w:eastAsia="SimSun"/>
                <w:sz w:val="17"/>
              </w:rPr>
              <w:t>，工作树干净</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results/evidence/discovery_vis_error.json</w:t>
            </w:r>
            <w:r>
              <w:rPr>
                <w:rFonts w:ascii="SimSun" w:hAnsi="SimSun" w:eastAsia="SimSun"/>
                <w:sz w:val="17"/>
              </w:rPr>
              <w:t xml:space="preserve"> 与同名 </w:t>
            </w:r>
            <w:r>
              <w:rPr>
                <w:rFonts w:ascii="Consolas" w:hAnsi="Consolas" w:eastAsia="Consolas"/>
                <w:sz w:val="17"/>
              </w:rPr>
              <w:t>.log</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种子 0：高估 502→10，MAE 0.1063→0.0123（8.7 倍）；种子 1：381→0，0.0730→0.0267（2.7 倍）；种子 2：407→19，0.0795→0.0196（4.1 倍）</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"降低可见性预测的平均绝对误差"；"消除绝大部分高估条目"；"设计模型与现场一致时不产生任何发现体素"</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❌"提高最终扫描覆盖率／缺口恢复率"（见 1.2）；❌"消除预测误差"；❌"完全避免误判"</w:t>
            </w:r>
          </w:p>
        </w:tc>
      </w:tr>
      <w:tr>
        <w:tc>
          <w:tcPr>
            <w:tcW w:type="dxa" w:w="4320"/>
          </w:tcPr>
          <w:p>
            <w:pPr>
              <w:spacing w:before="20" w:after="20"/>
            </w:pPr>
            <w:r>
              <w:rPr>
                <w:rFonts w:ascii="SimSun" w:hAnsi="SimSun" w:eastAsia="SimSun"/>
                <w:b/>
                <w:sz w:val="17"/>
              </w:rPr>
              <w:t>须一并记载的代价</w:t>
            </w:r>
          </w:p>
        </w:tc>
        <w:tc>
          <w:tcPr>
            <w:tcW w:type="dxa" w:w="4320"/>
          </w:tcPr>
          <w:p>
            <w:pPr>
              <w:spacing w:before="20" w:after="20"/>
            </w:pPr>
            <w:r>
              <w:rPr>
                <w:rFonts w:ascii="SimSun" w:hAnsi="SimSun" w:eastAsia="SimSun"/>
                <w:sz w:val="17"/>
              </w:rPr>
              <w:t>低估条目由 0 分别增至 132、242、188；地面高度阈值使遮挡物底部留缝</w:t>
            </w:r>
          </w:p>
        </w:tc>
      </w:tr>
    </w:tbl>
    <w:p/>
    <w:p>
      <w:pPr>
        <w:pStyle w:val="Heading3"/>
        <w:spacing w:before="120" w:after="80"/>
      </w:pPr>
      <w:r>
        <w:rPr>
          <w:rFonts w:ascii="SimHei" w:hAnsi="SimHei" w:eastAsia="SimHei"/>
          <w:color w:val="000000"/>
          <w:sz w:val="24"/>
        </w:rPr>
        <w:t>1.2 在线遮挡发现对最终恢复率的影响</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无可主张的效果</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（"无显著差异"这一事实本身有实验支持）</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模型外遮挡物对照实验（有／无在线发现）</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60 次运行，15 组配对</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30ed463</w:t>
            </w:r>
            <w:r>
              <w:rPr>
                <w:rFonts w:ascii="SimSun" w:hAnsi="SimSun" w:eastAsia="SimSun"/>
                <w:sz w:val="17"/>
              </w:rPr>
              <w:t>，运行时工作树含未提交改动</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results/exp3b/summary.md</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构件等权恢复率差值 +0.023；配对置换检验 p = 0.5009；模型与现场一致时差值 +0.000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"该机制对最终缺口恢复率的影响未达统计显著"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任何形式的"提高恢复率／覆盖率／召回率"</w:t>
            </w:r>
          </w:p>
        </w:tc>
      </w:tr>
    </w:tbl>
    <w:p/>
    <w:p>
      <w:pPr>
        <w:pStyle w:val="Heading3"/>
        <w:spacing w:before="120" w:after="80"/>
      </w:pPr>
      <w:r>
        <w:rPr>
          <w:rFonts w:ascii="SimHei" w:hAnsi="SimHei" w:eastAsia="SimHei"/>
          <w:color w:val="000000"/>
          <w:sz w:val="24"/>
        </w:rPr>
        <w:t>1.3 完整方案相对基线的缺口恢复率</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完整方案在缺口加权恢复率上相对五条基线的优势均达统计显著</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合成场站基准</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类场景 × 8 个随机种子 × 6 种方法 = 144 次运行，24 组配对</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30ed463</w:t>
            </w:r>
            <w:r>
              <w:rPr>
                <w:rFonts w:ascii="SimSun" w:hAnsi="SimSun" w:eastAsia="SimSun"/>
                <w:sz w:val="17"/>
              </w:rPr>
              <w:t>，运行时工作树含未提交改动</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results/exp2/summary.md</w:t>
            </w:r>
            <w:r>
              <w:rPr>
                <w:rFonts w:ascii="SimSun" w:hAnsi="SimSun" w:eastAsia="SimSun"/>
                <w:sz w:val="17"/>
              </w:rPr>
              <w:t>、</w:t>
            </w:r>
            <w:r>
              <w:rPr>
                <w:rFonts w:ascii="Consolas" w:hAnsi="Consolas" w:eastAsia="Consolas"/>
                <w:sz w:val="17"/>
              </w:rPr>
              <w:t>results/exp2/summary.json</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本方案 0.970 / 0.929 / 0.931（缺口加权恢复率／构件等权恢复率／关键构件召回）。Holm 校正后 p：vs 随机 0.0010、vs 最大离散度启发式 0.0060、vs 离线设计模型覆盖规划 0.0088、vs 在先方案 0.0010、vs 仅遮挡与量程感知 0.0010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"在缺口加权恢复率上相对全部五条基线的优势经多重比较校正后显著"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❌"在构件等权恢复率上全面优于基线"——相对最大离散度启发式、离线覆盖规划、仅遮挡与量程感知三条，构件等权恢复率的校正后 p 均为 0.1299，</w:t>
            </w:r>
            <w:r>
              <w:rPr>
                <w:rFonts w:ascii="SimSun" w:hAnsi="SimSun" w:eastAsia="SimSun"/>
                <w:b/>
                <w:sz w:val="17"/>
              </w:rPr>
              <w:t>未达显著</w:t>
            </w:r>
            <w:r>
              <w:rPr>
                <w:rFonts w:ascii="SimSun" w:hAnsi="SimSun" w:eastAsia="SimSun"/>
                <w:sz w:val="17"/>
              </w:rPr>
              <w:t>，须一并写明</w:t>
            </w:r>
          </w:p>
        </w:tc>
      </w:tr>
    </w:tbl>
    <w:p/>
    <w:p>
      <w:pPr>
        <w:pStyle w:val="Heading3"/>
        <w:spacing w:before="120" w:after="80"/>
      </w:pPr>
      <w:r>
        <w:rPr>
          <w:rFonts w:ascii="SimHei" w:hAnsi="SimHei" w:eastAsia="SimHei"/>
          <w:color w:val="000000"/>
          <w:sz w:val="24"/>
        </w:rPr>
        <w:t>1.4 跨场景规模与密度的稳定性</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本方案在 9 类场景上的平均缺口加权恢复率最高，同时变异系数最低</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跨规模／密度稳定性实验；预算按每固定数量的建模构件给一站</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种规模 × 3 种密度 × 3 个随机种子 × 4 种方法 = 108 次运行</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30ed463</w:t>
            </w:r>
            <w:r>
              <w:rPr>
                <w:rFonts w:ascii="SimSun" w:hAnsi="SimSun" w:eastAsia="SimSun"/>
                <w:sz w:val="17"/>
              </w:rPr>
              <w:t>，运行时工作树含未提交改动</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results/exp5/summary.md</w:t>
            </w:r>
            <w:r>
              <w:rPr>
                <w:rFonts w:ascii="SimSun" w:hAnsi="SimSun" w:eastAsia="SimSun"/>
                <w:sz w:val="17"/>
              </w:rPr>
              <w:t>、</w:t>
            </w:r>
            <w:r>
              <w:rPr>
                <w:rFonts w:ascii="Consolas" w:hAnsi="Consolas" w:eastAsia="Consolas"/>
                <w:sz w:val="17"/>
              </w:rPr>
              <w:t>results/exp5/summary.json</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本方案均值 0.974 / 变异系数 0.020 / 最差 L-low 0.935；仅遮挡与量程感知 0.966 / 0.022 / 0.933；离线覆盖规划 0.964 / 0.030 / 0.892；最大离散度启发式 0.904 / 0.071 / 0.807。逐规模相对最大离散度启发式：中等规模 +0.116（p=0.0234）、大规模 +0.082（p=0.0234）、小规模 +0.010（p=0.0781，未达显著）</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"平均值最高且变异系数最低，表现出更好的跨场景稳定性"；"在中等与大规模场景上的优势达统计显著"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❌"具有绝对鲁棒性"；❌"普遍适用于任意场景"；❌ 在小规模场景上声称显著优势</w:t>
            </w:r>
          </w:p>
        </w:tc>
      </w:tr>
      <w:tr>
        <w:tc>
          <w:tcPr>
            <w:tcW w:type="dxa" w:w="4320"/>
          </w:tcPr>
          <w:p>
            <w:pPr>
              <w:spacing w:before="20" w:after="20"/>
            </w:pPr>
            <w:r>
              <w:rPr>
                <w:rFonts w:ascii="SimSun" w:hAnsi="SimSun" w:eastAsia="SimSun"/>
                <w:b/>
                <w:sz w:val="17"/>
              </w:rPr>
              <w:t>⚠️ 作废证据</w:t>
            </w:r>
          </w:p>
        </w:tc>
        <w:tc>
          <w:tcPr>
            <w:tcW w:type="dxa" w:w="4320"/>
          </w:tcPr>
          <w:p>
            <w:pPr>
              <w:spacing w:before="20" w:after="20"/>
            </w:pPr>
            <w:r>
              <w:rPr>
                <w:rFonts w:ascii="SimSun" w:hAnsi="SimSun" w:eastAsia="SimSun"/>
                <w:b/>
                <w:sz w:val="17"/>
              </w:rPr>
              <w:t>旧协议（按自由格数分配预算）下的全部跨规模结论作废</w:t>
            </w:r>
            <w:r>
              <w:rPr>
                <w:rFonts w:ascii="SimSun" w:hAnsi="SimSun" w:eastAsia="SimSun"/>
                <w:sz w:val="17"/>
              </w:rPr>
              <w:t xml:space="preserve">，包括"S 规模 p=0.8945"与"构件等权反而更差"。作废原因：该协议使复杂场景反而获得更少站位预算，比较不公平。归档于 </w:t>
            </w:r>
            <w:r>
              <w:rPr>
                <w:rFonts w:ascii="Consolas" w:hAnsi="Consolas" w:eastAsia="Consolas"/>
                <w:sz w:val="17"/>
              </w:rPr>
              <w:t>results/archive/exp5_stale_protocol_pre14dfe35/</w:t>
            </w:r>
            <w:r>
              <w:rPr>
                <w:rFonts w:ascii="SimSun" w:hAnsi="SimSun" w:eastAsia="SimSun"/>
                <w:sz w:val="17"/>
              </w:rPr>
              <w:t>，</w:t>
            </w:r>
            <w:r>
              <w:rPr>
                <w:rFonts w:ascii="SimSun" w:hAnsi="SimSun" w:eastAsia="SimSun"/>
                <w:b/>
                <w:sz w:val="17"/>
              </w:rPr>
              <w:t>不得引用</w:t>
            </w:r>
          </w:p>
        </w:tc>
      </w:tr>
    </w:tbl>
    <w:p/>
    <w:p>
      <w:pPr>
        <w:pStyle w:val="Heading3"/>
        <w:spacing w:before="120" w:after="80"/>
      </w:pPr>
      <w:r>
        <w:rPr>
          <w:rFonts w:ascii="SimHei" w:hAnsi="SimHei" w:eastAsia="SimHei"/>
          <w:color w:val="000000"/>
          <w:sz w:val="24"/>
        </w:rPr>
        <w:t>1.5 预算内可达回退避免零结果输出</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恢复率随预算单调下降，而非在紧预算下崩溃为零</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预算退化回归测试</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单场景 4 个预算档</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025bb7d</w:t>
            </w:r>
            <w:r>
              <w:rPr>
                <w:rFonts w:ascii="SimSun" w:hAnsi="SimSun" w:eastAsia="SimSun"/>
                <w:sz w:val="17"/>
              </w:rPr>
              <w:t>，工作树干净</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SimSun" w:hAnsi="SimSun" w:eastAsia="SimSun"/>
                <w:sz w:val="17"/>
              </w:rPr>
              <w:t xml:space="preserve">回归测试 </w:t>
            </w:r>
            <w:r>
              <w:rPr>
                <w:rFonts w:ascii="Consolas" w:hAnsi="Consolas" w:eastAsia="Consolas"/>
                <w:sz w:val="17"/>
              </w:rPr>
              <w:t>tests/test_scene_families.py::test_tight_budget_degrades_instead_of_collapsing</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b/>
                <w:sz w:val="17"/>
              </w:rPr>
              <w:t>可通行路径代价预算</w:t>
            </w:r>
            <w:r>
              <w:rPr>
                <w:rFonts w:ascii="SimSun" w:hAnsi="SimSun" w:eastAsia="SimSun"/>
                <w:sz w:val="17"/>
              </w:rPr>
              <w:t>（只计移动路径）400 m / 60 m / 25 m → 6 站（0.988）／3 站（0.817）／1 站（0.638）；未设回退时 25 m 预算下 0 站、恢复率 0.000，而彼时预算内可达候选 202 个</w:t>
            </w:r>
          </w:p>
        </w:tc>
      </w:tr>
      <w:tr>
        <w:tc>
          <w:tcPr>
            <w:tcW w:type="dxa" w:w="4320"/>
          </w:tcPr>
          <w:p>
            <w:pPr>
              <w:spacing w:before="20" w:after="20"/>
            </w:pPr>
            <w:r>
              <w:rPr>
                <w:rFonts w:ascii="SimSun" w:hAnsi="SimSun" w:eastAsia="SimSun"/>
                <w:b/>
                <w:sz w:val="17"/>
              </w:rPr>
              <w:t>预算口径核对</w:t>
            </w:r>
          </w:p>
        </w:tc>
        <w:tc>
          <w:tcPr>
            <w:tcW w:type="dxa" w:w="4320"/>
          </w:tcPr>
          <w:p>
            <w:pPr>
              <w:spacing w:before="20" w:after="20"/>
            </w:pPr>
            <w:r>
              <w:rPr>
                <w:rFonts w:ascii="SimSun" w:hAnsi="SimSun" w:eastAsia="SimSun"/>
                <w:sz w:val="17"/>
              </w:rPr>
              <w:t>已核对代码：episode 预算变量只累加各轮的可通行路径代价，判据为"累计路径代价 ≥ 预算"。单站作业耗时折算的等效路径代价（180 s × 0.5 m/s = 90 m）</w:t>
            </w:r>
            <w:r>
              <w:rPr>
                <w:rFonts w:ascii="SimSun" w:hAnsi="SimSun" w:eastAsia="SimSun"/>
                <w:b/>
                <w:sz w:val="17"/>
              </w:rPr>
              <w:t>只</w:t>
            </w:r>
            <w:r>
              <w:rPr>
                <w:rFonts w:ascii="SimSun" w:hAnsi="SimSun" w:eastAsia="SimSun"/>
                <w:sz w:val="17"/>
              </w:rPr>
              <w:t>进入站位选择时的候选等效成本比值，不进入 episode 预算。</w:t>
            </w:r>
            <w:r>
              <w:rPr>
                <w:rFonts w:ascii="SimSun" w:hAnsi="SimSun" w:eastAsia="SimSun"/>
                <w:b/>
                <w:sz w:val="17"/>
              </w:rPr>
              <w:t>故 25 m 预算执行 1 站与说明书自洽</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由单场景推广为"在任意场景下均单调"；❌ 把预算表述为"包含作业时间的总预算"——它只计移动路径</w:t>
            </w:r>
          </w:p>
        </w:tc>
      </w:tr>
    </w:tbl>
    <w:p/>
    <w:p>
      <w:pPr>
        <w:pStyle w:val="Heading3"/>
        <w:spacing w:before="120" w:after="80"/>
      </w:pPr>
      <w:r>
        <w:rPr>
          <w:rFonts w:ascii="SimHei" w:hAnsi="SimHei" w:eastAsia="SimHei"/>
          <w:color w:val="000000"/>
          <w:sz w:val="24"/>
        </w:rPr>
        <w:t>1.6 目标分块按构件分组保证候选覆盖</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四类小尺寸构件的候选覆盖率由 0 提升至 100%</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目标集覆盖回归测试</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最小与最大两类场景</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025bb7d</w:t>
            </w:r>
            <w:r>
              <w:rPr>
                <w:rFonts w:ascii="SimSun" w:hAnsi="SimSun" w:eastAsia="SimSun"/>
                <w:sz w:val="17"/>
              </w:rPr>
              <w:t>，工作树干净</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SimSun" w:hAnsi="SimSun" w:eastAsia="SimSun"/>
                <w:sz w:val="17"/>
              </w:rPr>
              <w:t xml:space="preserve">回归测试 </w:t>
            </w:r>
            <w:r>
              <w:rPr>
                <w:rFonts w:ascii="Consolas" w:hAnsi="Consolas" w:eastAsia="Consolas"/>
                <w:sz w:val="17"/>
              </w:rPr>
              <w:t>tests/test_scene_families.py::test_every_component_can_be_targeted</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固定条数截断时：最小场景 隔离开关 0/144、互感器 0/72、避雷器 0/72、绝缘子 0/20；最大场景 0/576、0/288、0/288、0/40。分组后全部构件与全部类别 100%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由候选覆盖率提升直接推出恢复率提升——两者是不同量</w:t>
            </w:r>
          </w:p>
        </w:tc>
      </w:tr>
    </w:tbl>
    <w:p/>
    <w:p>
      <w:pPr>
        <w:pStyle w:val="Heading3"/>
        <w:spacing w:before="120" w:after="80"/>
      </w:pPr>
      <w:r>
        <w:rPr>
          <w:rFonts w:ascii="SimHei" w:hAnsi="SimHei" w:eastAsia="SimHei"/>
          <w:color w:val="000000"/>
          <w:sz w:val="24"/>
        </w:rPr>
        <w:t>1.7 剔除失败站位邻域的候选</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避免在同一位置反复选取，一站失败时恢复率由 0.000 提升至 0.876</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配准失败控制流回归测试（注入一次失败）</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单场景单种子</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025bb7d</w:t>
            </w:r>
            <w:r>
              <w:rPr>
                <w:rFonts w:ascii="SimSun" w:hAnsi="SimSun" w:eastAsia="SimSun"/>
                <w:sz w:val="17"/>
              </w:rPr>
              <w:t>，工作树干净</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SimSun" w:hAnsi="SimSun" w:eastAsia="SimSun"/>
                <w:sz w:val="17"/>
              </w:rPr>
              <w:t xml:space="preserve">回归测试 </w:t>
            </w:r>
            <w:r>
              <w:rPr>
                <w:rFonts w:ascii="Consolas" w:hAnsi="Consolas" w:eastAsia="Consolas"/>
                <w:sz w:val="17"/>
              </w:rPr>
              <w:t>tests/test_occluder_discovery.py::test_failed_registration_does_not_trap_the_planner</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未剔除时六轮全部停留在同一位置、恢复率 0.000；剔除后访问 6 个不同位置、恢复率 0.876</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声称该机制提升一般场景下的恢复率——它解决的是特定失效模式</w:t>
            </w:r>
          </w:p>
        </w:tc>
      </w:tr>
    </w:tbl>
    <w:p/>
    <w:p>
      <w:pPr>
        <w:pStyle w:val="Heading3"/>
        <w:spacing w:before="120" w:after="80"/>
      </w:pPr>
      <w:r>
        <w:rPr>
          <w:rFonts w:ascii="SimHei" w:hAnsi="SimHei" w:eastAsia="SimHei"/>
          <w:color w:val="000000"/>
          <w:sz w:val="24"/>
        </w:rPr>
        <w:t>1.8 单源最短路距离场</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路径代价与逐候选搜索一致，大规模场景候选生成耗时由约 53 秒降至 3.5 秒</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距离场与逐候选搜索的穷举比对 + 计时</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24330 个格点对（穷举）；计时为最大规模合成场景单轮</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025bb7d</w:t>
            </w:r>
            <w:r>
              <w:rPr>
                <w:rFonts w:ascii="SimSun" w:hAnsi="SimSun" w:eastAsia="SimSun"/>
                <w:sz w:val="17"/>
              </w:rPr>
              <w:t>，工作树干净</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SimSun" w:hAnsi="SimSun" w:eastAsia="SimSun"/>
                <w:sz w:val="17"/>
              </w:rPr>
              <w:t>回归测试与审查记录</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可达性不一致 0 例，数值最大绝对差 4.44e-16（浮点结合序噪声）；候选生成 约 53 s → 3.5 s</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"所得路径代价与逐候选搜索一致"；"降低候选评估的计算开销"</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把计算加速表述为规划质量提升</w:t>
            </w:r>
          </w:p>
        </w:tc>
      </w:tr>
    </w:tbl>
    <w:p/>
    <w:p>
      <w:pPr>
        <w:pStyle w:val="Heading3"/>
        <w:spacing w:before="120" w:after="80"/>
      </w:pPr>
      <w:r>
        <w:rPr>
          <w:rFonts w:ascii="SimHei" w:hAnsi="SimHei" w:eastAsia="SimHei"/>
          <w:color w:val="000000"/>
          <w:sz w:val="24"/>
        </w:rPr>
        <w:t>1.9 真实建筑数据</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本方法能够消费真实设计模型与真实实测点云，流程可执行</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（仅就可执行性而言）</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真实建筑实施例</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b/>
                <w:sz w:val="17"/>
              </w:rPr>
              <w:t>1 栋建筑、1 个主要随机种子</w:t>
            </w:r>
            <w:r>
              <w:rPr>
                <w:rFonts w:ascii="SimSun" w:hAnsi="SimSun" w:eastAsia="SimSun"/>
                <w:sz w:val="17"/>
              </w:rPr>
              <w:t>，16 次运行（含消融）</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运行时记录为 </w:t>
            </w:r>
            <w:r>
              <w:rPr>
                <w:rFonts w:ascii="Consolas" w:hAnsi="Consolas" w:eastAsia="Consolas"/>
                <w:sz w:val="17"/>
              </w:rPr>
              <w:t>795df72-dirty</w:t>
            </w:r>
            <w:r>
              <w:rPr>
                <w:rFonts w:ascii="SimSun" w:hAnsi="SimSun" w:eastAsia="SimSun"/>
                <w:sz w:val="17"/>
              </w:rPr>
              <w:t xml:space="preserve">；实际代码为该提交加当时未提交的室内适配改动（后成为 </w:t>
            </w:r>
            <w:r>
              <w:rPr>
                <w:rFonts w:ascii="Consolas" w:hAnsi="Consolas" w:eastAsia="Consolas"/>
                <w:sz w:val="17"/>
              </w:rPr>
              <w:t>537666b</w:t>
            </w:r>
            <w:r>
              <w:rPr>
                <w:rFonts w:ascii="SimSun" w:hAnsi="SimSun" w:eastAsia="SimSun"/>
                <w:sz w:val="17"/>
              </w:rPr>
              <w:t>）。</w:t>
            </w:r>
            <w:r>
              <w:rPr>
                <w:rFonts w:ascii="SimSun" w:hAnsi="SimSun" w:eastAsia="SimSun"/>
                <w:b/>
                <w:sz w:val="17"/>
              </w:rPr>
              <w:t>该批结果的确切代码无法由提交标识恢复</w:t>
            </w:r>
            <w:r>
              <w:rPr>
                <w:rFonts w:ascii="SimSun" w:hAnsi="SimSun" w:eastAsia="SimSun"/>
                <w:sz w:val="17"/>
              </w:rPr>
              <w:t>，见 2.3</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results/exp6/summary.md</w:t>
            </w:r>
            <w:r>
              <w:rPr>
                <w:rFonts w:ascii="SimSun" w:hAnsi="SimSun" w:eastAsia="SimSun"/>
                <w:sz w:val="17"/>
              </w:rPr>
              <w:t>、</w:t>
            </w:r>
            <w:r>
              <w:rPr>
                <w:rFonts w:ascii="Consolas" w:hAnsi="Consolas" w:eastAsia="Consolas"/>
                <w:sz w:val="17"/>
              </w:rPr>
              <w:t>results/e6.log</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设计模型 604187 顶点 / 1197750 三角面 / 256 建模构件 / 7019 表面分块，占地 18.2 m × 24.5 m，表面积 3836.5 m²；实测点 584701977 个，5 cm 阈值下匹配 12835294 个。执行 28 站，本方案 0.959 / 0.981 / 0.956</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"能够消费真实设计模型与真实实测点云"；"流程在真实建筑数据上可执行"；"对应实施例可正常产生输出"</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❌"在真实建筑中普遍优于……"；❌"证明具有广泛泛化能力"；❌"对不同真实建筑均有效"；❌ 任何由本实施例推出的方法间优劣比较</w:t>
            </w:r>
          </w:p>
        </w:tc>
      </w:tr>
      <w:tr>
        <w:tc>
          <w:tcPr>
            <w:tcW w:type="dxa" w:w="4320"/>
          </w:tcPr>
          <w:p>
            <w:pPr>
              <w:spacing w:before="20" w:after="20"/>
            </w:pPr>
            <w:r>
              <w:rPr>
                <w:rFonts w:ascii="SimSun" w:hAnsi="SimSun" w:eastAsia="SimSun"/>
                <w:b/>
                <w:sz w:val="17"/>
              </w:rPr>
              <w:t>须一并记载的限制</w:t>
            </w:r>
          </w:p>
        </w:tc>
        <w:tc>
          <w:tcPr>
            <w:tcW w:type="dxa" w:w="4320"/>
          </w:tcPr>
          <w:p>
            <w:pPr>
              <w:spacing w:before="20" w:after="20"/>
            </w:pPr>
            <w:r>
              <w:rPr>
                <w:rFonts w:ascii="SimSun" w:hAnsi="SimSun" w:eastAsia="SimSun"/>
                <w:sz w:val="17"/>
              </w:rPr>
              <w:t>该数据集只提供一份融合后的点云、不含逐站位姿，因此补充扫描站位的重新采集由射线仿真器在真实设计模型上完成——几何与缺口来自真实数据，重新采集为仿真</w:t>
            </w:r>
          </w:p>
        </w:tc>
      </w:tr>
    </w:tbl>
    <w:p/>
    <w:p>
      <w:pPr>
        <w:pStyle w:val="Heading3"/>
        <w:spacing w:before="120" w:after="80"/>
      </w:pPr>
      <w:r>
        <w:rPr>
          <w:rFonts w:ascii="SimHei" w:hAnsi="SimHei" w:eastAsia="SimHei"/>
          <w:color w:val="000000"/>
          <w:sz w:val="24"/>
        </w:rPr>
        <w:t>1.10 配准支持评分项（候选价值中的配准项）</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无可主张的效果</w:t>
            </w:r>
            <w:r>
              <w:rPr>
                <w:rFonts w:ascii="SimSun" w:hAnsi="SimSun" w:eastAsia="SimSun"/>
                <w:sz w:val="17"/>
              </w:rPr>
              <w:t>；仅可说明机理</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（"无影响"这一事实有实验支持）</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配准项权重置零消融</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真实建筑 2 种缺口定义各 1 次</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运行时记录为 </w:t>
            </w:r>
            <w:r>
              <w:rPr>
                <w:rFonts w:ascii="Consolas" w:hAnsi="Consolas" w:eastAsia="Consolas"/>
                <w:sz w:val="17"/>
              </w:rPr>
              <w:t>ca94eee-dirty</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results/e6_ablation.log</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权重置零后闭环结果</w:t>
            </w:r>
            <w:r>
              <w:rPr>
                <w:rFonts w:ascii="SimSun" w:hAnsi="SimSun" w:eastAsia="SimSun"/>
                <w:b/>
                <w:sz w:val="17"/>
              </w:rPr>
              <w:t>逐位不变</w:t>
            </w:r>
            <w:r>
              <w:rPr>
                <w:rFonts w:ascii="SimSun" w:hAnsi="SimSun" w:eastAsia="SimSun"/>
                <w:sz w:val="17"/>
              </w:rPr>
              <w:t>（0.959/0.981/0.956 与 0.797/0.879/0.625 两组均相同）。另在合成场景上，重叠区退化度中位 0.984，该项约占候选价值 1%，六轮闭环中一次未改变最高价值候选</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"在机理上用于评价新增观测的可配准性或提供数据质量依据"</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❌"提高候选选择质量"；❌"提高恢复率"；❌"改善路线质量"；❌"改变视点决策"</w:t>
            </w:r>
          </w:p>
        </w:tc>
      </w:tr>
    </w:tbl>
    <w:p/>
    <w:p>
      <w:pPr>
        <w:pStyle w:val="Heading3"/>
        <w:spacing w:before="120" w:after="80"/>
      </w:pPr>
      <w:r>
        <w:rPr>
          <w:rFonts w:ascii="SimHei" w:hAnsi="SimHei" w:eastAsia="SimHei"/>
          <w:color w:val="000000"/>
          <w:sz w:val="24"/>
        </w:rPr>
        <w:t>1.10b 配准失败时新增点云的使用范围（代码事实核对）</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判定为不满足预设更新条件时，规划用遮挡模型与缺口证据均保持不变</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（代码事实）</w:t>
            </w:r>
          </w:p>
        </w:tc>
      </w:tr>
      <w:tr>
        <w:tc>
          <w:tcPr>
            <w:tcW w:type="dxa" w:w="4320"/>
          </w:tcPr>
          <w:p>
            <w:pPr>
              <w:spacing w:before="20" w:after="20"/>
            </w:pPr>
            <w:r>
              <w:rPr>
                <w:rFonts w:ascii="SimSun" w:hAnsi="SimSun" w:eastAsia="SimSun"/>
                <w:b/>
                <w:sz w:val="17"/>
              </w:rPr>
              <w:t>核对方式</w:t>
            </w:r>
          </w:p>
        </w:tc>
        <w:tc>
          <w:tcPr>
            <w:tcW w:type="dxa" w:w="4320"/>
          </w:tcPr>
          <w:p>
            <w:pPr>
              <w:spacing w:before="20" w:after="20"/>
            </w:pPr>
            <w:r>
              <w:rPr>
                <w:rFonts w:ascii="SimSun" w:hAnsi="SimSun" w:eastAsia="SimSun"/>
                <w:sz w:val="17"/>
              </w:rPr>
              <w:t>阅读闭环实现：判定失败时该站被弹出已执行站集、其点云句柄置空，随后的在线遮挡发现调用因该句柄为空而被跳过</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提交 </w:t>
            </w:r>
            <w:r>
              <w:rPr>
                <w:rFonts w:ascii="Consolas" w:hAnsi="Consolas" w:eastAsia="Consolas"/>
                <w:sz w:val="17"/>
              </w:rPr>
              <w:t>025bb7d</w:t>
            </w:r>
            <w:r>
              <w:rPr>
                <w:rFonts w:ascii="SimSun" w:hAnsi="SimSun" w:eastAsia="SimSun"/>
                <w:sz w:val="17"/>
              </w:rPr>
              <w:t>，工作树干净</w:t>
            </w:r>
          </w:p>
        </w:tc>
      </w:tr>
      <w:tr>
        <w:tc>
          <w:tcPr>
            <w:tcW w:type="dxa" w:w="4320"/>
          </w:tcPr>
          <w:p>
            <w:pPr>
              <w:spacing w:before="20" w:after="20"/>
            </w:pPr>
            <w:r>
              <w:rPr>
                <w:rFonts w:ascii="SimSun" w:hAnsi="SimSun" w:eastAsia="SimSun"/>
                <w:b/>
                <w:sz w:val="17"/>
              </w:rPr>
              <w:t>结论</w:t>
            </w:r>
          </w:p>
        </w:tc>
        <w:tc>
          <w:tcPr>
            <w:tcW w:type="dxa" w:w="4320"/>
          </w:tcPr>
          <w:p>
            <w:pPr>
              <w:spacing w:before="20" w:after="20"/>
            </w:pPr>
            <w:r>
              <w:rPr>
                <w:rFonts w:ascii="SimSun" w:hAnsi="SimSun" w:eastAsia="SimSun"/>
                <w:sz w:val="17"/>
              </w:rPr>
              <w:t>代码本来就未把失败站的点云用于遮挡模型更新。此前说明书把遮挡模型更新写成无条件，属</w:t>
            </w:r>
            <w:r>
              <w:rPr>
                <w:rFonts w:ascii="SimSun" w:hAnsi="SimSun" w:eastAsia="SimSun"/>
                <w:b/>
                <w:sz w:val="17"/>
              </w:rPr>
              <w:t>文本与代码不符</w:t>
            </w:r>
            <w:r>
              <w:rPr>
                <w:rFonts w:ascii="SimSun" w:hAnsi="SimSun" w:eastAsia="SimSun"/>
                <w:sz w:val="17"/>
              </w:rPr>
              <w:t>，已按代码改正</w:t>
            </w:r>
          </w:p>
        </w:tc>
      </w:tr>
      <w:tr>
        <w:tc>
          <w:tcPr>
            <w:tcW w:type="dxa" w:w="4320"/>
          </w:tcPr>
          <w:p>
            <w:pPr>
              <w:spacing w:before="20" w:after="20"/>
            </w:pPr>
            <w:r>
              <w:rPr>
                <w:rFonts w:ascii="SimSun" w:hAnsi="SimSun" w:eastAsia="SimSun"/>
                <w:b/>
                <w:sz w:val="17"/>
              </w:rPr>
              <w:t>技术理由</w:t>
            </w:r>
          </w:p>
        </w:tc>
        <w:tc>
          <w:tcPr>
            <w:tcW w:type="dxa" w:w="4320"/>
          </w:tcPr>
          <w:p>
            <w:pPr>
              <w:spacing w:before="20" w:after="20"/>
            </w:pPr>
            <w:r>
              <w:rPr>
                <w:rFonts w:ascii="SimSun" w:hAnsi="SimSun" w:eastAsia="SimSun"/>
                <w:sz w:val="17"/>
              </w:rPr>
              <w:t>判定失败意味着该站数据无法可靠拼入设计模型所在的全局坐标系，其回波点的全局坐标同样不可信，因而无法据以判定"该点离设计模型表面超过 ε"——距离判据本身以两者同处一个坐标系为前提</w:t>
            </w:r>
          </w:p>
        </w:tc>
      </w:tr>
      <w:tr>
        <w:tc>
          <w:tcPr>
            <w:tcW w:type="dxa" w:w="4320"/>
          </w:tcPr>
          <w:p>
            <w:pPr>
              <w:spacing w:before="20" w:after="20"/>
            </w:pPr>
            <w:r>
              <w:rPr>
                <w:rFonts w:ascii="SimSun" w:hAnsi="SimSun" w:eastAsia="SimSun"/>
                <w:b/>
                <w:sz w:val="17"/>
              </w:rPr>
              <w:t>例外情形</w:t>
            </w:r>
          </w:p>
        </w:tc>
        <w:tc>
          <w:tcPr>
            <w:tcW w:type="dxa" w:w="4320"/>
          </w:tcPr>
          <w:p>
            <w:pPr>
              <w:spacing w:before="20" w:after="20"/>
            </w:pPr>
            <w:r>
              <w:rPr>
                <w:rFonts w:ascii="SimSun" w:hAnsi="SimSun" w:eastAsia="SimSun"/>
                <w:sz w:val="17"/>
              </w:rPr>
              <w:t>若移动平台具备独立于点云配准的可靠全局定位，则该情形下可照常执行发现步骤。</w:t>
            </w:r>
            <w:r>
              <w:rPr>
                <w:rFonts w:ascii="SimSun" w:hAnsi="SimSun" w:eastAsia="SimSun"/>
                <w:b/>
                <w:sz w:val="17"/>
              </w:rPr>
              <w:t>本申请实施例不属于该情形</w:t>
            </w:r>
            <w:r>
              <w:rPr>
                <w:rFonts w:ascii="SimSun" w:hAnsi="SimSun" w:eastAsia="SimSun"/>
                <w:sz w:val="17"/>
              </w:rPr>
              <w:t>，说明书已注明</w:t>
            </w:r>
          </w:p>
        </w:tc>
      </w:tr>
    </w:tbl>
    <w:p/>
    <w:p>
      <w:pPr>
        <w:pStyle w:val="Heading3"/>
        <w:spacing w:before="120" w:after="80"/>
      </w:pPr>
      <w:r>
        <w:rPr>
          <w:rFonts w:ascii="SimHei" w:hAnsi="SimHei" w:eastAsia="SimHei"/>
          <w:color w:val="000000"/>
          <w:sz w:val="24"/>
        </w:rPr>
        <w:t>1.11 执行策略 A / B / C</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三种策略在合成场景上性能有差异，在真实建筑上差异不明显</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合成场景执行策略对照 45 次运行；真实建筑执行策略消融</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合成 3 类场景 × 5 个种子；真实建筑 1 栋 1 种子</w:t>
            </w:r>
          </w:p>
        </w:tc>
      </w:tr>
      <w:tr>
        <w:tc>
          <w:tcPr>
            <w:tcW w:type="dxa" w:w="4320"/>
          </w:tcPr>
          <w:p>
            <w:pPr>
              <w:spacing w:before="20" w:after="20"/>
            </w:pPr>
            <w:r>
              <w:rPr>
                <w:rFonts w:ascii="SimSun" w:hAnsi="SimSun" w:eastAsia="SimSun"/>
                <w:b/>
                <w:sz w:val="17"/>
              </w:rPr>
              <w:t>代码状态</w:t>
            </w:r>
          </w:p>
        </w:tc>
        <w:tc>
          <w:tcPr>
            <w:tcW w:type="dxa" w:w="4320"/>
          </w:tcPr>
          <w:p>
            <w:pPr>
              <w:spacing w:before="20" w:after="20"/>
            </w:pPr>
            <w:r>
              <w:rPr>
                <w:rFonts w:ascii="SimSun" w:hAnsi="SimSun" w:eastAsia="SimSun"/>
                <w:sz w:val="17"/>
              </w:rPr>
              <w:t xml:space="preserve">合成对照记录为 </w:t>
            </w:r>
            <w:r>
              <w:rPr>
                <w:rFonts w:ascii="Consolas" w:hAnsi="Consolas" w:eastAsia="Consolas"/>
                <w:sz w:val="17"/>
              </w:rPr>
              <w:t>77e257c</w:t>
            </w:r>
            <w:r>
              <w:rPr>
                <w:rFonts w:ascii="SimSun" w:hAnsi="SimSun" w:eastAsia="SimSun"/>
                <w:sz w:val="17"/>
              </w:rPr>
              <w:t xml:space="preserve">；真实建筑消融记录为 </w:t>
            </w:r>
            <w:r>
              <w:rPr>
                <w:rFonts w:ascii="Consolas" w:hAnsi="Consolas" w:eastAsia="Consolas"/>
                <w:sz w:val="17"/>
              </w:rPr>
              <w:t>da706f4-dirty</w:t>
            </w:r>
          </w:p>
        </w:tc>
      </w:tr>
      <w:tr>
        <w:tc>
          <w:tcPr>
            <w:tcW w:type="dxa" w:w="4320"/>
          </w:tcPr>
          <w:p>
            <w:pPr>
              <w:spacing w:before="20" w:after="20"/>
            </w:pPr>
            <w:r>
              <w:rPr>
                <w:rFonts w:ascii="SimSun" w:hAnsi="SimSun" w:eastAsia="SimSun"/>
                <w:b/>
                <w:sz w:val="17"/>
              </w:rPr>
              <w:t>结果文件</w:t>
            </w:r>
          </w:p>
        </w:tc>
        <w:tc>
          <w:tcPr>
            <w:tcW w:type="dxa" w:w="4320"/>
          </w:tcPr>
          <w:p>
            <w:pPr>
              <w:spacing w:before="20" w:after="20"/>
            </w:pPr>
            <w:r>
              <w:rPr>
                <w:rFonts w:ascii="Consolas" w:hAnsi="Consolas" w:eastAsia="Consolas"/>
                <w:sz w:val="17"/>
              </w:rPr>
              <w:t>results/archive/exec_policy_ab_pre14dfe35/summary.md</w:t>
            </w:r>
            <w:r>
              <w:rPr>
                <w:rFonts w:ascii="SimSun" w:hAnsi="SimSun" w:eastAsia="SimSun"/>
                <w:sz w:val="17"/>
              </w:rPr>
              <w:t>、</w:t>
            </w:r>
            <w:r>
              <w:rPr>
                <w:rFonts w:ascii="Consolas" w:hAnsi="Consolas" w:eastAsia="Consolas"/>
                <w:sz w:val="17"/>
              </w:rPr>
              <w:t>results/e6_exec_greedy_first.log</w:t>
            </w:r>
            <w:r>
              <w:rPr>
                <w:rFonts w:ascii="SimSun" w:hAnsi="SimSun" w:eastAsia="SimSun"/>
                <w:sz w:val="17"/>
              </w:rPr>
              <w:t>、</w:t>
            </w:r>
            <w:r>
              <w:rPr>
                <w:rFonts w:ascii="Consolas" w:hAnsi="Consolas" w:eastAsia="Consolas"/>
                <w:sz w:val="17"/>
              </w:rPr>
              <w:t>results/e6_exec_j_step.log</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合成：策略 A 0.977 / 0.956 / 153 m，策略 C 0.967 / 0.924 / 230 m，单位路径增益差异 Holm 校正后 p = 0.0006。真实建筑：三者缺口加权恢复率 0.959 / 0.958 / 0.958</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"在合成场景上策略 A 的表现最好，故列为优选实施方式"；"在真实建筑上尚无充分证据表明策略 A 具有明显性能优势"</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由性能差异直接推断创造性贡献大小——实验性能与专利创造性不是同一判断</w:t>
            </w:r>
          </w:p>
        </w:tc>
      </w:tr>
    </w:tbl>
    <w:p/>
    <w:p>
      <w:pPr>
        <w:pStyle w:val="Heading3"/>
        <w:spacing w:before="120" w:after="80"/>
      </w:pPr>
      <w:r>
        <w:rPr>
          <w:rFonts w:ascii="SimHei" w:hAnsi="SimHei" w:eastAsia="SimHei"/>
          <w:color w:val="000000"/>
          <w:sz w:val="24"/>
        </w:rPr>
        <w:t>1.12 体素外扩抑制措施</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本申请未实现</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[C]</w:t>
            </w:r>
          </w:p>
        </w:tc>
      </w:tr>
      <w:tr>
        <w:tc>
          <w:tcPr>
            <w:tcW w:type="dxa" w:w="4320"/>
          </w:tcPr>
          <w:p>
            <w:pPr>
              <w:spacing w:before="20" w:after="20"/>
            </w:pPr>
            <w:r>
              <w:rPr>
                <w:rFonts w:ascii="SimSun" w:hAnsi="SimSun" w:eastAsia="SimSun"/>
                <w:b/>
                <w:sz w:val="17"/>
              </w:rPr>
              <w:t>说明</w:t>
            </w:r>
          </w:p>
        </w:tc>
        <w:tc>
          <w:tcPr>
            <w:tcW w:type="dxa" w:w="4320"/>
          </w:tcPr>
          <w:p>
            <w:pPr>
              <w:spacing w:before="20" w:after="20"/>
            </w:pPr>
            <w:r>
              <w:rPr>
                <w:rFonts w:ascii="SimSun" w:hAnsi="SimSun" w:eastAsia="SimSun"/>
                <w:sz w:val="17"/>
              </w:rPr>
              <w:t>现有实现中没有任何抑制体素外扩的措施。可考虑的方向（仅并入被多站一致判定为模型外的体素、按体素内点数设阈）</w:t>
            </w:r>
            <w:r>
              <w:rPr>
                <w:rFonts w:ascii="SimSun" w:hAnsi="SimSun" w:eastAsia="SimSun"/>
                <w:b/>
                <w:sz w:val="17"/>
              </w:rPr>
              <w:t>均未实现，不得写成已有方案</w:t>
            </w:r>
          </w:p>
        </w:tc>
      </w:tr>
    </w:tbl>
    <w:p/>
    <w:p>
      <w:pPr>
        <w:pStyle w:val="Heading3"/>
        <w:spacing w:before="120" w:after="80"/>
      </w:pPr>
      <w:r>
        <w:rPr>
          <w:rFonts w:ascii="SimHei" w:hAnsi="SimHei" w:eastAsia="SimHei"/>
          <w:color w:val="000000"/>
          <w:sz w:val="24"/>
        </w:rPr>
        <w:t>1.13 设备级分组</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本申请未实现</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[C]</w:t>
            </w:r>
          </w:p>
        </w:tc>
      </w:tr>
      <w:tr>
        <w:tc>
          <w:tcPr>
            <w:tcW w:type="dxa" w:w="4320"/>
          </w:tcPr>
          <w:p>
            <w:pPr>
              <w:spacing w:before="20" w:after="20"/>
            </w:pPr>
            <w:r>
              <w:rPr>
                <w:rFonts w:ascii="SimSun" w:hAnsi="SimSun" w:eastAsia="SimSun"/>
                <w:b/>
                <w:sz w:val="17"/>
              </w:rPr>
              <w:t>说明</w:t>
            </w:r>
          </w:p>
        </w:tc>
        <w:tc>
          <w:tcPr>
            <w:tcW w:type="dxa" w:w="4320"/>
          </w:tcPr>
          <w:p>
            <w:pPr>
              <w:spacing w:before="20" w:after="20"/>
            </w:pPr>
            <w:r>
              <w:rPr>
                <w:rFonts w:ascii="SimSun" w:hAnsi="SimSun" w:eastAsia="SimSun"/>
                <w:sz w:val="17"/>
              </w:rPr>
              <w:t>"构件"统一指设计模型中的建模构件对象。一台主变压器对应箱体与数片散热片共若干个建模构件。</w:t>
            </w:r>
            <w:r>
              <w:rPr>
                <w:rFonts w:ascii="SimSun" w:hAnsi="SimSun" w:eastAsia="SimSun"/>
                <w:b/>
                <w:sz w:val="17"/>
              </w:rPr>
              <w:t>不得写作"每台设备等权"</w:t>
            </w:r>
            <w:r>
              <w:rPr>
                <w:rFonts w:ascii="SimSun" w:hAnsi="SimSun" w:eastAsia="SimSun"/>
                <w:sz w:val="17"/>
              </w:rPr>
              <w:t>。设备级聚合作为未来改进</w:t>
            </w:r>
          </w:p>
        </w:tc>
      </w:tr>
    </w:tbl>
    <w:p/>
    <w:p>
      <w:pPr>
        <w:pStyle w:val="Heading2"/>
        <w:spacing w:before="200" w:after="80"/>
      </w:pPr>
      <w:r>
        <w:rPr>
          <w:rFonts w:ascii="SimHei" w:hAnsi="SimHei" w:eastAsia="SimHei"/>
          <w:color w:val="000000"/>
          <w:sz w:val="27"/>
        </w:rPr>
        <w:t>2. 实验记录的完整性说明</w:t>
      </w:r>
    </w:p>
    <w:p>
      <w:pPr>
        <w:pStyle w:val="Heading3"/>
        <w:spacing w:before="120" w:after="80"/>
      </w:pPr>
      <w:r>
        <w:rPr>
          <w:rFonts w:ascii="SimHei" w:hAnsi="SimHei" w:eastAsia="SimHei"/>
          <w:color w:val="000000"/>
          <w:sz w:val="24"/>
        </w:rPr>
        <w:t>2.1 已作废、不得引用的记录</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归档位置</w:t>
            </w:r>
          </w:p>
        </w:tc>
        <w:tc>
          <w:tcPr>
            <w:tcW w:type="dxa" w:w="4320"/>
          </w:tcPr>
          <w:p>
            <w:pPr>
              <w:spacing w:before="20" w:after="20"/>
            </w:pPr>
            <w:r>
              <w:rPr>
                <w:rFonts w:ascii="SimSun" w:hAnsi="SimSun" w:eastAsia="SimSun"/>
                <w:b/>
                <w:sz w:val="17"/>
              </w:rPr>
              <w:t>作废原因</w:t>
            </w:r>
          </w:p>
        </w:tc>
      </w:tr>
      <w:tr>
        <w:tc>
          <w:tcPr>
            <w:tcW w:type="dxa" w:w="4320"/>
          </w:tcPr>
          <w:p>
            <w:pPr>
              <w:spacing w:before="20" w:after="20"/>
            </w:pPr>
            <w:r>
              <w:rPr>
                <w:rFonts w:ascii="Consolas" w:hAnsi="Consolas" w:eastAsia="Consolas"/>
                <w:sz w:val="17"/>
              </w:rPr>
              <w:t>results/archive/exp5_stale_protocol_pre14dfe35/</w:t>
            </w:r>
          </w:p>
        </w:tc>
        <w:tc>
          <w:tcPr>
            <w:tcW w:type="dxa" w:w="4320"/>
          </w:tcPr>
          <w:p>
            <w:pPr>
              <w:spacing w:before="20" w:after="20"/>
            </w:pPr>
            <w:r>
              <w:rPr>
                <w:rFonts w:ascii="SimSun" w:hAnsi="SimSun" w:eastAsia="SimSun"/>
                <w:sz w:val="17"/>
              </w:rPr>
              <w:t>预算按自由格数分配，使复杂场景反而获得更少预算，比较不公平</w:t>
            </w:r>
          </w:p>
        </w:tc>
      </w:tr>
      <w:tr>
        <w:tc>
          <w:tcPr>
            <w:tcW w:type="dxa" w:w="4320"/>
          </w:tcPr>
          <w:p>
            <w:pPr>
              <w:spacing w:before="20" w:after="20"/>
            </w:pPr>
            <w:r>
              <w:rPr>
                <w:rFonts w:ascii="Consolas" w:hAnsi="Consolas" w:eastAsia="Consolas"/>
                <w:sz w:val="17"/>
              </w:rPr>
              <w:t>results/archive/exp2_pre14dfe35/</w:t>
            </w:r>
            <w:r>
              <w:rPr>
                <w:rFonts w:ascii="SimSun" w:hAnsi="SimSun" w:eastAsia="SimSun"/>
                <w:sz w:val="17"/>
              </w:rPr>
              <w:t>、</w:t>
            </w:r>
            <w:r>
              <w:rPr>
                <w:rFonts w:ascii="Consolas" w:hAnsi="Consolas" w:eastAsia="Consolas"/>
                <w:sz w:val="17"/>
              </w:rPr>
              <w:t>exp3_pre14dfe35/</w:t>
            </w:r>
            <w:r>
              <w:rPr>
                <w:rFonts w:ascii="SimSun" w:hAnsi="SimSun" w:eastAsia="SimSun"/>
                <w:sz w:val="17"/>
              </w:rPr>
              <w:t>、</w:t>
            </w:r>
            <w:r>
              <w:rPr>
                <w:rFonts w:ascii="Consolas" w:hAnsi="Consolas" w:eastAsia="Consolas"/>
                <w:sz w:val="17"/>
              </w:rPr>
              <w:t>exp3b_pre14dfe35/</w:t>
            </w:r>
          </w:p>
        </w:tc>
        <w:tc>
          <w:tcPr>
            <w:tcW w:type="dxa" w:w="4320"/>
          </w:tcPr>
          <w:p>
            <w:pPr>
              <w:spacing w:before="20" w:after="20"/>
            </w:pPr>
            <w:r>
              <w:rPr>
                <w:rFonts w:ascii="SimSun" w:hAnsi="SimSun" w:eastAsia="SimSun"/>
                <w:sz w:val="17"/>
              </w:rPr>
              <w:t>采集于采样密度、基线距离核与评分归一化改动之前，"改动前 vs 改动后"的差值无法归因</w:t>
            </w:r>
          </w:p>
        </w:tc>
      </w:tr>
    </w:tbl>
    <w:p/>
    <w:p>
      <w:pPr>
        <w:pStyle w:val="Heading3"/>
        <w:spacing w:before="120" w:after="80"/>
      </w:pPr>
      <w:r>
        <w:rPr>
          <w:rFonts w:ascii="SimHei" w:hAnsi="SimHei" w:eastAsia="SimHei"/>
          <w:color w:val="000000"/>
          <w:sz w:val="24"/>
        </w:rPr>
        <w:t>2.2 版本混合事故的处理</w:t>
      </w:r>
    </w:p>
    <w:p>
      <w:pPr>
        <w:spacing w:after="80"/>
        <w:jc w:val="both"/>
      </w:pPr>
      <w:r>
        <w:rPr>
          <w:rFonts w:ascii="SimSun" w:hAnsi="SimSun" w:eastAsia="SimSun"/>
        </w:rPr>
        <w:t>曾发生一批实验因断点续跑仅校验文件存在、不校验代码版本，而在同一结果目录中混入两个代码版本的运行记录。该批记录已整体删除并重跑；续跑逻辑已改为版本不一致时拒绝继续。</w:t>
      </w:r>
      <w:r>
        <w:rPr>
          <w:rFonts w:ascii="SimSun" w:hAnsi="SimSun" w:eastAsia="SimSun"/>
          <w:b/>
        </w:rPr>
        <w:t>本表所引的全部记录均为单一版本。</w:t>
      </w:r>
    </w:p>
    <w:p>
      <w:pPr>
        <w:pStyle w:val="Heading3"/>
        <w:spacing w:before="120" w:after="80"/>
      </w:pPr>
      <w:r>
        <w:rPr>
          <w:rFonts w:ascii="SimHei" w:hAnsi="SimHei" w:eastAsia="SimHei"/>
          <w:color w:val="000000"/>
          <w:sz w:val="24"/>
        </w:rPr>
        <w:t>2.3 真实建筑批次的版本标识不精确</w:t>
      </w:r>
    </w:p>
    <w:p>
      <w:pPr>
        <w:spacing w:after="80"/>
        <w:jc w:val="both"/>
      </w:pPr>
      <w:r>
        <w:rPr>
          <w:rFonts w:ascii="SimSun" w:hAnsi="SimSun" w:eastAsia="SimSun"/>
        </w:rPr>
        <w:t>见 1.9 的"代码状态"。该批记录带有"工作树非干净"标记，标记本身正确，但确切代码无法由提交标识恢复。</w:t>
      </w:r>
      <w:r>
        <w:rPr>
          <w:rFonts w:ascii="SimSun" w:hAnsi="SimSun" w:eastAsia="SimSun"/>
          <w:b/>
        </w:rPr>
        <w:t>若需向甲方或审查机构提供可复现的实验记录，应以干净提交重跑该批次并重新留档。</w:t>
      </w:r>
      <w:r>
        <w:rPr>
          <w:rFonts w:ascii="SimSun" w:hAnsi="SimSun" w:eastAsia="SimSun"/>
        </w:rPr>
        <w:t xml:space="preserve"> 不影响专利正文，因该批次只支持"可执行性"这一主张。</w:t>
      </w:r>
    </w:p>
    <w:p>
      <w:pPr>
        <w:pStyle w:val="Heading2"/>
        <w:spacing w:before="200" w:after="80"/>
      </w:pPr>
      <w:r>
        <w:rPr>
          <w:rFonts w:ascii="SimHei" w:hAnsi="SimHei" w:eastAsia="SimHei"/>
          <w:color w:val="000000"/>
          <w:sz w:val="27"/>
        </w:rPr>
        <w:t>3. 说明书"有益效果"各小节与本表的对应</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说明书小节</w:t>
            </w:r>
          </w:p>
        </w:tc>
        <w:tc>
          <w:tcPr>
            <w:tcW w:type="dxa" w:w="4320"/>
          </w:tcPr>
          <w:p>
            <w:pPr>
              <w:spacing w:before="20" w:after="20"/>
            </w:pPr>
            <w:r>
              <w:rPr>
                <w:rFonts w:ascii="SimSun" w:hAnsi="SimSun" w:eastAsia="SimSun"/>
                <w:b/>
                <w:sz w:val="17"/>
              </w:rPr>
              <w:t>本表条目</w:t>
            </w:r>
          </w:p>
        </w:tc>
      </w:tr>
      <w:tr>
        <w:tc>
          <w:tcPr>
            <w:tcW w:type="dxa" w:w="4320"/>
          </w:tcPr>
          <w:p>
            <w:pPr>
              <w:spacing w:before="20" w:after="20"/>
            </w:pPr>
            <w:r>
              <w:rPr>
                <w:rFonts w:ascii="SimSun" w:hAnsi="SimSun" w:eastAsia="SimSun"/>
                <w:sz w:val="17"/>
              </w:rPr>
              <w:t>6.1 在线遮挡发现降低可见性预测误差</w:t>
            </w:r>
          </w:p>
        </w:tc>
        <w:tc>
          <w:tcPr>
            <w:tcW w:type="dxa" w:w="4320"/>
          </w:tcPr>
          <w:p>
            <w:pPr>
              <w:spacing w:before="20" w:after="20"/>
            </w:pPr>
            <w:r>
              <w:rPr>
                <w:rFonts w:ascii="SimSun" w:hAnsi="SimSun" w:eastAsia="SimSun"/>
                <w:sz w:val="17"/>
              </w:rPr>
              <w:t>1.1、1.2</w:t>
            </w:r>
          </w:p>
        </w:tc>
      </w:tr>
      <w:tr>
        <w:tc>
          <w:tcPr>
            <w:tcW w:type="dxa" w:w="4320"/>
          </w:tcPr>
          <w:p>
            <w:pPr>
              <w:spacing w:before="20" w:after="20"/>
            </w:pPr>
            <w:r>
              <w:rPr>
                <w:rFonts w:ascii="SimSun" w:hAnsi="SimSun" w:eastAsia="SimSun"/>
                <w:sz w:val="17"/>
              </w:rPr>
              <w:t>6.2 完整方案相对基线的缺口恢复率</w:t>
            </w:r>
          </w:p>
        </w:tc>
        <w:tc>
          <w:tcPr>
            <w:tcW w:type="dxa" w:w="4320"/>
          </w:tcPr>
          <w:p>
            <w:pPr>
              <w:spacing w:before="20" w:after="20"/>
            </w:pPr>
            <w:r>
              <w:rPr>
                <w:rFonts w:ascii="SimSun" w:hAnsi="SimSun" w:eastAsia="SimSun"/>
                <w:sz w:val="17"/>
              </w:rPr>
              <w:t>1.3</w:t>
            </w:r>
          </w:p>
        </w:tc>
      </w:tr>
      <w:tr>
        <w:tc>
          <w:tcPr>
            <w:tcW w:type="dxa" w:w="4320"/>
          </w:tcPr>
          <w:p>
            <w:pPr>
              <w:spacing w:before="20" w:after="20"/>
            </w:pPr>
            <w:r>
              <w:rPr>
                <w:rFonts w:ascii="SimSun" w:hAnsi="SimSun" w:eastAsia="SimSun"/>
                <w:sz w:val="17"/>
              </w:rPr>
              <w:t>6.3 跨场景规模与密度的稳定性</w:t>
            </w:r>
          </w:p>
        </w:tc>
        <w:tc>
          <w:tcPr>
            <w:tcW w:type="dxa" w:w="4320"/>
          </w:tcPr>
          <w:p>
            <w:pPr>
              <w:spacing w:before="20" w:after="20"/>
            </w:pPr>
            <w:r>
              <w:rPr>
                <w:rFonts w:ascii="SimSun" w:hAnsi="SimSun" w:eastAsia="SimSun"/>
                <w:sz w:val="17"/>
              </w:rPr>
              <w:t>1.4</w:t>
            </w:r>
          </w:p>
        </w:tc>
      </w:tr>
      <w:tr>
        <w:tc>
          <w:tcPr>
            <w:tcW w:type="dxa" w:w="4320"/>
          </w:tcPr>
          <w:p>
            <w:pPr>
              <w:spacing w:before="20" w:after="20"/>
            </w:pPr>
            <w:r>
              <w:rPr>
                <w:rFonts w:ascii="SimSun" w:hAnsi="SimSun" w:eastAsia="SimSun"/>
                <w:sz w:val="17"/>
              </w:rPr>
              <w:t>6.4 预算内可达回退避免零结果输出</w:t>
            </w:r>
          </w:p>
        </w:tc>
        <w:tc>
          <w:tcPr>
            <w:tcW w:type="dxa" w:w="4320"/>
          </w:tcPr>
          <w:p>
            <w:pPr>
              <w:spacing w:before="20" w:after="20"/>
            </w:pPr>
            <w:r>
              <w:rPr>
                <w:rFonts w:ascii="SimSun" w:hAnsi="SimSun" w:eastAsia="SimSun"/>
                <w:sz w:val="17"/>
              </w:rPr>
              <w:t>1.5</w:t>
            </w:r>
          </w:p>
        </w:tc>
      </w:tr>
      <w:tr>
        <w:tc>
          <w:tcPr>
            <w:tcW w:type="dxa" w:w="4320"/>
          </w:tcPr>
          <w:p>
            <w:pPr>
              <w:spacing w:before="20" w:after="20"/>
            </w:pPr>
            <w:r>
              <w:rPr>
                <w:rFonts w:ascii="SimSun" w:hAnsi="SimSun" w:eastAsia="SimSun"/>
                <w:sz w:val="17"/>
              </w:rPr>
              <w:t>6.5 目标分块按构件分组保证候选覆盖</w:t>
            </w:r>
          </w:p>
        </w:tc>
        <w:tc>
          <w:tcPr>
            <w:tcW w:type="dxa" w:w="4320"/>
          </w:tcPr>
          <w:p>
            <w:pPr>
              <w:spacing w:before="20" w:after="20"/>
            </w:pPr>
            <w:r>
              <w:rPr>
                <w:rFonts w:ascii="SimSun" w:hAnsi="SimSun" w:eastAsia="SimSun"/>
                <w:sz w:val="17"/>
              </w:rPr>
              <w:t>1.6</w:t>
            </w:r>
          </w:p>
        </w:tc>
      </w:tr>
      <w:tr>
        <w:tc>
          <w:tcPr>
            <w:tcW w:type="dxa" w:w="4320"/>
          </w:tcPr>
          <w:p>
            <w:pPr>
              <w:spacing w:before="20" w:after="20"/>
            </w:pPr>
            <w:r>
              <w:rPr>
                <w:rFonts w:ascii="SimSun" w:hAnsi="SimSun" w:eastAsia="SimSun"/>
                <w:sz w:val="17"/>
              </w:rPr>
              <w:t>6.6 剔除失败站位邻域的候选避免重复选取</w:t>
            </w:r>
          </w:p>
        </w:tc>
        <w:tc>
          <w:tcPr>
            <w:tcW w:type="dxa" w:w="4320"/>
          </w:tcPr>
          <w:p>
            <w:pPr>
              <w:spacing w:before="20" w:after="20"/>
            </w:pPr>
            <w:r>
              <w:rPr>
                <w:rFonts w:ascii="SimSun" w:hAnsi="SimSun" w:eastAsia="SimSun"/>
                <w:sz w:val="17"/>
              </w:rPr>
              <w:t>1.7</w:t>
            </w:r>
          </w:p>
        </w:tc>
      </w:tr>
      <w:tr>
        <w:tc>
          <w:tcPr>
            <w:tcW w:type="dxa" w:w="4320"/>
          </w:tcPr>
          <w:p>
            <w:pPr>
              <w:spacing w:before="20" w:after="20"/>
            </w:pPr>
            <w:r>
              <w:rPr>
                <w:rFonts w:ascii="SimSun" w:hAnsi="SimSun" w:eastAsia="SimSun"/>
                <w:sz w:val="17"/>
              </w:rPr>
              <w:t>6.7 单源最短路距离场降低候选评估开销</w:t>
            </w:r>
          </w:p>
        </w:tc>
        <w:tc>
          <w:tcPr>
            <w:tcW w:type="dxa" w:w="4320"/>
          </w:tcPr>
          <w:p>
            <w:pPr>
              <w:spacing w:before="20" w:after="20"/>
            </w:pPr>
            <w:r>
              <w:rPr>
                <w:rFonts w:ascii="SimSun" w:hAnsi="SimSun" w:eastAsia="SimSun"/>
                <w:sz w:val="17"/>
              </w:rPr>
              <w:t>1.8</w:t>
            </w:r>
          </w:p>
        </w:tc>
      </w:tr>
      <w:tr>
        <w:tc>
          <w:tcPr>
            <w:tcW w:type="dxa" w:w="4320"/>
          </w:tcPr>
          <w:p>
            <w:pPr>
              <w:spacing w:before="20" w:after="20"/>
            </w:pPr>
            <w:r>
              <w:rPr>
                <w:rFonts w:ascii="SimSun" w:hAnsi="SimSun" w:eastAsia="SimSun"/>
                <w:sz w:val="17"/>
              </w:rPr>
              <w:t>6.8 真实建筑数据上的可执行性</w:t>
            </w:r>
          </w:p>
        </w:tc>
        <w:tc>
          <w:tcPr>
            <w:tcW w:type="dxa" w:w="4320"/>
          </w:tcPr>
          <w:p>
            <w:pPr>
              <w:spacing w:before="20" w:after="20"/>
            </w:pPr>
            <w:r>
              <w:rPr>
                <w:rFonts w:ascii="SimSun" w:hAnsi="SimSun" w:eastAsia="SimSun"/>
                <w:sz w:val="17"/>
              </w:rPr>
              <w:t>1.9</w:t>
            </w:r>
          </w:p>
        </w:tc>
      </w:tr>
      <w:tr>
        <w:tc>
          <w:tcPr>
            <w:tcW w:type="dxa" w:w="4320"/>
          </w:tcPr>
          <w:p>
            <w:pPr>
              <w:spacing w:before="20" w:after="20"/>
            </w:pPr>
            <w:r>
              <w:rPr>
                <w:rFonts w:ascii="SimSun" w:hAnsi="SimSun" w:eastAsia="SimSun"/>
                <w:sz w:val="17"/>
              </w:rPr>
              <w:t>8.5 可选实施方式（配准支持项）</w:t>
            </w:r>
          </w:p>
        </w:tc>
        <w:tc>
          <w:tcPr>
            <w:tcW w:type="dxa" w:w="4320"/>
          </w:tcPr>
          <w:p>
            <w:pPr>
              <w:spacing w:before="20" w:after="20"/>
            </w:pPr>
            <w:r>
              <w:rPr>
                <w:rFonts w:ascii="SimSun" w:hAnsi="SimSun" w:eastAsia="SimSun"/>
                <w:sz w:val="17"/>
              </w:rPr>
              <w:t>1.10</w:t>
            </w:r>
          </w:p>
        </w:tc>
      </w:tr>
      <w:tr>
        <w:tc>
          <w:tcPr>
            <w:tcW w:type="dxa" w:w="4320"/>
          </w:tcPr>
          <w:p>
            <w:pPr>
              <w:spacing w:before="20" w:after="20"/>
            </w:pPr>
            <w:r>
              <w:rPr>
                <w:rFonts w:ascii="SimSun" w:hAnsi="SimSun" w:eastAsia="SimSun"/>
                <w:sz w:val="17"/>
              </w:rPr>
              <w:t>8.7 执行规则的三种实现</w:t>
            </w:r>
          </w:p>
        </w:tc>
        <w:tc>
          <w:tcPr>
            <w:tcW w:type="dxa" w:w="4320"/>
          </w:tcPr>
          <w:p>
            <w:pPr>
              <w:spacing w:before="20" w:after="20"/>
            </w:pPr>
            <w:r>
              <w:rPr>
                <w:rFonts w:ascii="SimSun" w:hAnsi="SimSun" w:eastAsia="SimSun"/>
                <w:sz w:val="17"/>
              </w:rPr>
              <w:t>1.11</w:t>
            </w:r>
          </w:p>
        </w:tc>
      </w:tr>
      <w:tr>
        <w:tc>
          <w:tcPr>
            <w:tcW w:type="dxa" w:w="4320"/>
          </w:tcPr>
          <w:p>
            <w:pPr>
              <w:spacing w:before="20" w:after="20"/>
            </w:pPr>
            <w:r>
              <w:rPr>
                <w:rFonts w:ascii="SimSun" w:hAnsi="SimSun" w:eastAsia="SimSun"/>
                <w:sz w:val="17"/>
              </w:rPr>
              <w:t>11 节末 可选改进方向</w:t>
            </w:r>
          </w:p>
        </w:tc>
        <w:tc>
          <w:tcPr>
            <w:tcW w:type="dxa" w:w="4320"/>
          </w:tcPr>
          <w:p>
            <w:pPr>
              <w:spacing w:before="20" w:after="20"/>
            </w:pPr>
            <w:r>
              <w:rPr>
                <w:rFonts w:ascii="SimSun" w:hAnsi="SimSun" w:eastAsia="SimSun"/>
                <w:sz w:val="17"/>
              </w:rPr>
              <w:t>1.12</w:t>
            </w:r>
          </w:p>
        </w:tc>
      </w:tr>
      <w:tr>
        <w:tc>
          <w:tcPr>
            <w:tcW w:type="dxa" w:w="4320"/>
          </w:tcPr>
          <w:p>
            <w:pPr>
              <w:spacing w:before="20" w:after="20"/>
            </w:pPr>
            <w:r>
              <w:rPr>
                <w:rFonts w:ascii="SimSun" w:hAnsi="SimSun" w:eastAsia="SimSun"/>
                <w:sz w:val="17"/>
              </w:rPr>
              <w:t>6.2 末段 "构件"口径</w:t>
            </w:r>
          </w:p>
        </w:tc>
        <w:tc>
          <w:tcPr>
            <w:tcW w:type="dxa" w:w="4320"/>
          </w:tcPr>
          <w:p>
            <w:pPr>
              <w:spacing w:before="20" w:after="20"/>
            </w:pPr>
            <w:r>
              <w:rPr>
                <w:rFonts w:ascii="SimSun" w:hAnsi="SimSun" w:eastAsia="SimSun"/>
                <w:sz w:val="17"/>
              </w:rPr>
              <w:t>1.13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