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 w:eastAsia="SimHei"/>
          <w:sz w:val="32"/>
        </w:rPr>
        <w:t>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820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总体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820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1　总体流程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06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可通行空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0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2　可通行空间构建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48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候选站位与距离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48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3　候选补充扫描站位与距离层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2099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在线遮挡发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20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4　在线发现模型外遮挡物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572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等代价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72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5　剩余预算的等代价边界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02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目标分块选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02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6　有缺口构件的目标表面分块选取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