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00" w:after="80"/>
      </w:pPr>
      <w:r>
        <w:rPr>
          <w:rFonts w:ascii="SimHei" w:hAnsi="SimHei" w:eastAsia="SimHei"/>
          <w:color w:val="000000"/>
          <w:sz w:val="32"/>
        </w:rPr>
        <w:t>C 待代理人确认的权项与法律策略事项</w:t>
      </w:r>
    </w:p>
    <w:p>
      <w:pPr>
        <w:spacing w:after="80"/>
        <w:jc w:val="both"/>
      </w:pPr>
      <w:r>
        <w:rPr>
          <w:rFonts w:ascii="SimSun" w:hAnsi="SimSun" w:eastAsia="SimSun"/>
        </w:rPr>
        <w:t>对应《A 权利要求书_代理人审阅稿》与《B 说明书_代理人审阅稿》。</w:t>
      </w:r>
    </w:p>
    <w:p>
      <w:pPr>
        <w:spacing w:after="80"/>
        <w:jc w:val="both"/>
      </w:pPr>
      <w:r>
        <w:rPr>
          <w:rFonts w:ascii="SimSun" w:hAnsi="SimSun" w:eastAsia="SimSun"/>
        </w:rPr>
        <w:t>本文件中的事项</w:t>
      </w:r>
      <w:r>
        <w:rPr>
          <w:rFonts w:ascii="SimSun" w:hAnsi="SimSun" w:eastAsia="SimSun"/>
          <w:b/>
        </w:rPr>
        <w:t>均不是技术错误</w:t>
      </w:r>
      <w:r>
        <w:rPr>
          <w:rFonts w:ascii="SimSun" w:hAnsi="SimSun" w:eastAsia="SimSun"/>
        </w:rPr>
        <w:t>，而是须结合现有技术检索结果与法律状态才能决定的选择。技术文本在任一取值下均自洽。</w:t>
      </w:r>
    </w:p>
    <w:p>
      <w:pPr>
        <w:pStyle w:val="Heading2"/>
        <w:spacing w:before="200" w:after="80"/>
      </w:pPr>
      <w:r>
        <w:rPr>
          <w:rFonts w:ascii="SimHei" w:hAnsi="SimHei" w:eastAsia="SimHei"/>
          <w:color w:val="000000"/>
          <w:sz w:val="27"/>
        </w:rPr>
        <w:t>一、权项策略事项</w:t>
      </w:r>
    </w:p>
    <w:p>
      <w:pPr>
        <w:pStyle w:val="Heading3"/>
        <w:spacing w:before="120" w:after="80"/>
      </w:pPr>
      <w:r>
        <w:rPr>
          <w:rFonts w:ascii="SimHei" w:hAnsi="SimHei" w:eastAsia="SimHei"/>
          <w:color w:val="000000"/>
          <w:sz w:val="24"/>
        </w:rPr>
        <w:t>1. 宽保护版与稳创造性版的取舍</w:t>
      </w:r>
    </w:p>
    <w:p>
      <w:pPr>
        <w:spacing w:after="80"/>
        <w:jc w:val="both"/>
      </w:pPr>
      <w:r>
        <w:rPr>
          <w:rFonts w:ascii="SimSun" w:hAnsi="SimSun" w:eastAsia="SimSun"/>
          <w:b/>
        </w:rPr>
        <w:t>当前状态</w:t>
      </w:r>
      <w:r>
        <w:rPr>
          <w:rFonts w:ascii="SimSun" w:hAnsi="SimSun" w:eastAsia="SimSun"/>
        </w:rPr>
        <w:t>：主稿采用宽保护版，即《A》所载权 1。</w:t>
      </w:r>
    </w:p>
    <w:p>
      <w:pPr>
        <w:spacing w:after="80"/>
        <w:jc w:val="both"/>
      </w:pPr>
      <w:r>
        <w:rPr>
          <w:rFonts w:ascii="SimSun" w:hAnsi="SimSun" w:eastAsia="SimSun"/>
          <w:b/>
        </w:rPr>
        <w:t>两版的区别</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p>
        </w:tc>
        <w:tc>
          <w:tcPr>
            <w:tcW w:type="dxa" w:w="2880"/>
          </w:tcPr>
          <w:p>
            <w:pPr>
              <w:spacing w:before="20" w:after="20"/>
            </w:pPr>
            <w:r>
              <w:rPr>
                <w:rFonts w:ascii="SimSun" w:hAnsi="SimSun" w:eastAsia="SimSun"/>
                <w:b/>
                <w:sz w:val="17"/>
              </w:rPr>
              <w:t>宽保护版（当前主稿）</w:t>
            </w:r>
          </w:p>
        </w:tc>
        <w:tc>
          <w:tcPr>
            <w:tcW w:type="dxa" w:w="2880"/>
          </w:tcPr>
          <w:p>
            <w:pPr>
              <w:spacing w:before="20" w:after="20"/>
            </w:pPr>
            <w:r>
              <w:rPr>
                <w:rFonts w:ascii="SimSun" w:hAnsi="SimSun" w:eastAsia="SimSun"/>
                <w:b/>
                <w:sz w:val="17"/>
              </w:rPr>
              <w:t>稳创造性版（备用）</w:t>
            </w:r>
          </w:p>
        </w:tc>
      </w:tr>
      <w:tr>
        <w:tc>
          <w:tcPr>
            <w:tcW w:type="dxa" w:w="2880"/>
          </w:tcPr>
          <w:p>
            <w:pPr>
              <w:spacing w:before="20" w:after="20"/>
            </w:pPr>
            <w:r>
              <w:rPr>
                <w:rFonts w:ascii="SimSun" w:hAnsi="SimSun" w:eastAsia="SimSun"/>
                <w:sz w:val="17"/>
              </w:rPr>
              <w:t>执行规则</w:t>
            </w:r>
          </w:p>
        </w:tc>
        <w:tc>
          <w:tcPr>
            <w:tcW w:type="dxa" w:w="2880"/>
          </w:tcPr>
          <w:p>
            <w:pPr>
              <w:spacing w:before="20" w:after="20"/>
            </w:pPr>
            <w:r>
              <w:rPr>
                <w:rFonts w:ascii="SimSun" w:hAnsi="SimSun" w:eastAsia="SimSun"/>
                <w:sz w:val="17"/>
              </w:rPr>
              <w:t>权 1 只写"按照预设执行规则"，A/B/C 分列权 3/4/5</w:t>
            </w:r>
          </w:p>
        </w:tc>
        <w:tc>
          <w:tcPr>
            <w:tcW w:type="dxa" w:w="2880"/>
          </w:tcPr>
          <w:p>
            <w:pPr>
              <w:spacing w:before="20" w:after="20"/>
            </w:pPr>
            <w:r>
              <w:rPr>
                <w:rFonts w:ascii="SimSun" w:hAnsi="SimSun" w:eastAsia="SimSun"/>
                <w:sz w:val="17"/>
              </w:rPr>
              <w:t>将权 3 的"取可达者→路线排序→执行首站"并入权 1</w:t>
            </w:r>
          </w:p>
        </w:tc>
      </w:tr>
      <w:tr>
        <w:tc>
          <w:tcPr>
            <w:tcW w:type="dxa" w:w="2880"/>
          </w:tcPr>
          <w:p>
            <w:pPr>
              <w:spacing w:before="20" w:after="20"/>
            </w:pPr>
            <w:r>
              <w:rPr>
                <w:rFonts w:ascii="SimSun" w:hAnsi="SimSun" w:eastAsia="SimSun"/>
                <w:sz w:val="17"/>
              </w:rPr>
              <w:t>预算回退</w:t>
            </w:r>
          </w:p>
        </w:tc>
        <w:tc>
          <w:tcPr>
            <w:tcW w:type="dxa" w:w="2880"/>
          </w:tcPr>
          <w:p>
            <w:pPr>
              <w:spacing w:before="20" w:after="20"/>
            </w:pPr>
            <w:r>
              <w:rPr>
                <w:rFonts w:ascii="SimSun" w:hAnsi="SimSun" w:eastAsia="SimSun"/>
                <w:sz w:val="17"/>
              </w:rPr>
              <w:t>权 1 只写"本轮执行的站位为剩余预算内可达的候选站位"（结果性约束），两阶段逻辑在权 2</w:t>
            </w:r>
          </w:p>
        </w:tc>
        <w:tc>
          <w:tcPr>
            <w:tcW w:type="dxa" w:w="2880"/>
          </w:tcPr>
          <w:p>
            <w:pPr>
              <w:spacing w:before="20" w:after="20"/>
            </w:pPr>
            <w:r>
              <w:rPr>
                <w:rFonts w:ascii="SimSun" w:hAnsi="SimSun" w:eastAsia="SimSun"/>
                <w:sz w:val="17"/>
              </w:rPr>
              <w:t>将权 2 的两阶段逻辑并入权 1</w:t>
            </w:r>
          </w:p>
        </w:tc>
      </w:tr>
      <w:tr>
        <w:tc>
          <w:tcPr>
            <w:tcW w:type="dxa" w:w="2880"/>
          </w:tcPr>
          <w:p>
            <w:pPr>
              <w:spacing w:before="20" w:after="20"/>
            </w:pPr>
            <w:r>
              <w:rPr>
                <w:rFonts w:ascii="SimSun" w:hAnsi="SimSun" w:eastAsia="SimSun"/>
                <w:sz w:val="17"/>
              </w:rPr>
              <w:t>回灌关系</w:t>
            </w:r>
          </w:p>
        </w:tc>
        <w:tc>
          <w:tcPr>
            <w:tcW w:type="dxa" w:w="2880"/>
          </w:tcPr>
          <w:p>
            <w:pPr>
              <w:spacing w:before="20" w:after="20"/>
            </w:pPr>
            <w:r>
              <w:rPr>
                <w:rFonts w:ascii="SimSun" w:hAnsi="SimSun" w:eastAsia="SimSun"/>
                <w:sz w:val="17"/>
              </w:rPr>
              <w:t>权 1 S8 以"以更新后的规划用遮挡模型……重新执行 S3 至 S7"表达</w:t>
            </w:r>
          </w:p>
        </w:tc>
        <w:tc>
          <w:tcPr>
            <w:tcW w:type="dxa" w:w="2880"/>
          </w:tcPr>
          <w:p>
            <w:pPr>
              <w:spacing w:before="20" w:after="20"/>
            </w:pPr>
            <w:r>
              <w:rPr>
                <w:rFonts w:ascii="SimSun" w:hAnsi="SimSun" w:eastAsia="SimSun"/>
                <w:sz w:val="17"/>
              </w:rPr>
              <w:t>在 S8 中显式写出"以更新后的规划用遮挡模型重新计算后续候选补充扫描站位的可见性"</w:t>
            </w:r>
          </w:p>
        </w:tc>
      </w:tr>
    </w:tbl>
    <w:p/>
    <w:p>
      <w:pPr>
        <w:spacing w:after="80"/>
        <w:jc w:val="both"/>
      </w:pPr>
      <w:r>
        <w:rPr>
          <w:rFonts w:ascii="SimSun" w:hAnsi="SimSun" w:eastAsia="SimSun"/>
          <w:b/>
        </w:rPr>
        <w:t>上提每一项的代价</w:t>
      </w:r>
      <w:r>
        <w:rPr>
          <w:rFonts w:ascii="SimSun" w:hAnsi="SimSun" w:eastAsia="SimSun"/>
        </w:rPr>
        <w:t>：</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spacing w:before="20" w:after="20"/>
            </w:pPr>
            <w:r>
              <w:rPr>
                <w:rFonts w:ascii="SimSun" w:hAnsi="SimSun" w:eastAsia="SimSun"/>
                <w:b/>
                <w:sz w:val="17"/>
              </w:rPr>
              <w:t>上提的特征</w:t>
            </w:r>
          </w:p>
        </w:tc>
        <w:tc>
          <w:tcPr>
            <w:tcW w:type="dxa" w:w="2880"/>
          </w:tcPr>
          <w:p>
            <w:pPr>
              <w:spacing w:before="20" w:after="20"/>
            </w:pPr>
            <w:r>
              <w:rPr>
                <w:rFonts w:ascii="SimSun" w:hAnsi="SimSun" w:eastAsia="SimSun"/>
                <w:b/>
                <w:sz w:val="17"/>
              </w:rPr>
              <w:t>可能带来的创造性收益</w:t>
            </w:r>
          </w:p>
        </w:tc>
        <w:tc>
          <w:tcPr>
            <w:tcW w:type="dxa" w:w="2880"/>
          </w:tcPr>
          <w:p>
            <w:pPr>
              <w:spacing w:before="20" w:after="20"/>
            </w:pPr>
            <w:r>
              <w:rPr>
                <w:rFonts w:ascii="SimSun" w:hAnsi="SimSun" w:eastAsia="SimSun"/>
                <w:b/>
                <w:sz w:val="17"/>
              </w:rPr>
              <w:t>牺牲的保护范围</w:t>
            </w:r>
          </w:p>
        </w:tc>
      </w:tr>
      <w:tr>
        <w:tc>
          <w:tcPr>
            <w:tcW w:type="dxa" w:w="2880"/>
          </w:tcPr>
          <w:p>
            <w:pPr>
              <w:spacing w:before="20" w:after="20"/>
            </w:pPr>
            <w:r>
              <w:rPr>
                <w:rFonts w:ascii="SimSun" w:hAnsi="SimSun" w:eastAsia="SimSun"/>
                <w:sz w:val="17"/>
              </w:rPr>
              <w:t>路线排序与执行首站</w:t>
            </w:r>
          </w:p>
        </w:tc>
        <w:tc>
          <w:tcPr>
            <w:tcW w:type="dxa" w:w="2880"/>
          </w:tcPr>
          <w:p>
            <w:pPr>
              <w:spacing w:before="20" w:after="20"/>
            </w:pPr>
            <w:r>
              <w:rPr>
                <w:rFonts w:ascii="SimSun" w:hAnsi="SimSun" w:eastAsia="SimSun"/>
                <w:sz w:val="17"/>
              </w:rPr>
              <w:t>使"选定多站—排序—执行首站—重规划"形成完整因果链，与"每次只计算一个视点"的在先方案区别更显性</w:t>
            </w:r>
          </w:p>
        </w:tc>
        <w:tc>
          <w:tcPr>
            <w:tcW w:type="dxa" w:w="2880"/>
          </w:tcPr>
          <w:p>
            <w:pPr>
              <w:spacing w:before="20" w:after="20"/>
            </w:pPr>
            <w:r>
              <w:rPr>
                <w:rFonts w:ascii="SimSun" w:hAnsi="SimSun" w:eastAsia="SimSun"/>
                <w:sz w:val="17"/>
              </w:rPr>
              <w:t>放弃对执行规则 B、C 的覆盖</w:t>
            </w:r>
          </w:p>
        </w:tc>
      </w:tr>
      <w:tr>
        <w:tc>
          <w:tcPr>
            <w:tcW w:type="dxa" w:w="2880"/>
          </w:tcPr>
          <w:p>
            <w:pPr>
              <w:spacing w:before="20" w:after="20"/>
            </w:pPr>
            <w:r>
              <w:rPr>
                <w:rFonts w:ascii="SimSun" w:hAnsi="SimSun" w:eastAsia="SimSun"/>
                <w:sz w:val="17"/>
              </w:rPr>
              <w:t>两阶段回退</w:t>
            </w:r>
          </w:p>
        </w:tc>
        <w:tc>
          <w:tcPr>
            <w:tcW w:type="dxa" w:w="2880"/>
          </w:tcPr>
          <w:p>
            <w:pPr>
              <w:spacing w:before="20" w:after="20"/>
            </w:pPr>
            <w:r>
              <w:rPr>
                <w:rFonts w:ascii="SimSun" w:hAnsi="SimSun" w:eastAsia="SimSun"/>
                <w:sz w:val="17"/>
              </w:rPr>
              <w:t>把"预选—回退"这一特有结构写死，规避解释空间更小</w:t>
            </w:r>
          </w:p>
        </w:tc>
        <w:tc>
          <w:tcPr>
            <w:tcW w:type="dxa" w:w="2880"/>
          </w:tcPr>
          <w:p>
            <w:pPr>
              <w:spacing w:before="20" w:after="20"/>
            </w:pPr>
            <w:r>
              <w:rPr>
                <w:rFonts w:ascii="SimSun" w:hAnsi="SimSun" w:eastAsia="SimSun"/>
                <w:sz w:val="17"/>
              </w:rPr>
              <w:t>一步到位在全部可达候选中择优的实施方式落到范围之外</w:t>
            </w:r>
          </w:p>
        </w:tc>
      </w:tr>
      <w:tr>
        <w:tc>
          <w:tcPr>
            <w:tcW w:type="dxa" w:w="2880"/>
          </w:tcPr>
          <w:p>
            <w:pPr>
              <w:spacing w:before="20" w:after="20"/>
            </w:pPr>
            <w:r>
              <w:rPr>
                <w:rFonts w:ascii="SimSun" w:hAnsi="SimSun" w:eastAsia="SimSun"/>
                <w:sz w:val="17"/>
              </w:rPr>
              <w:t>显式回灌关系</w:t>
            </w:r>
          </w:p>
        </w:tc>
        <w:tc>
          <w:tcPr>
            <w:tcW w:type="dxa" w:w="2880"/>
          </w:tcPr>
          <w:p>
            <w:pPr>
              <w:spacing w:before="20" w:after="20"/>
            </w:pPr>
            <w:r>
              <w:rPr>
                <w:rFonts w:ascii="SimSun" w:hAnsi="SimSun" w:eastAsia="SimSun"/>
                <w:sz w:val="17"/>
              </w:rPr>
              <w:t>杜绝"发现了但不用于后续计算"的规避解释</w:t>
            </w:r>
          </w:p>
        </w:tc>
        <w:tc>
          <w:tcPr>
            <w:tcW w:type="dxa" w:w="2880"/>
          </w:tcPr>
          <w:p>
            <w:pPr>
              <w:spacing w:before="20" w:after="20"/>
            </w:pPr>
            <w:r>
              <w:rPr>
                <w:rFonts w:ascii="SimSun" w:hAnsi="SimSun" w:eastAsia="SimSun"/>
                <w:sz w:val="17"/>
              </w:rPr>
              <w:t>几乎不牺牲，该关系本属必要特征</w:t>
            </w:r>
          </w:p>
        </w:tc>
      </w:tr>
    </w:tbl>
    <w:p/>
    <w:p>
      <w:pPr>
        <w:spacing w:after="80"/>
        <w:jc w:val="both"/>
      </w:pPr>
      <w:r>
        <w:rPr>
          <w:rFonts w:ascii="SimSun" w:hAnsi="SimSun" w:eastAsia="SimSun"/>
          <w:b/>
        </w:rPr>
        <w:t>须由代理人决定的问题</w:t>
      </w:r>
      <w:r>
        <w:rPr>
          <w:rFonts w:ascii="SimSun" w:hAnsi="SimSun" w:eastAsia="SimSun"/>
        </w:rPr>
        <w:t>：检索结果是否表明权 1 现有的必要特征组合已被部分公开？若是，则应采用稳创造性版。</w:t>
      </w:r>
    </w:p>
    <w:p>
      <w:pPr>
        <w:spacing w:after="80"/>
        <w:jc w:val="both"/>
      </w:pPr>
      <w:r>
        <w:rPr>
          <w:rFonts w:ascii="SimSun" w:hAnsi="SimSun" w:eastAsia="SimSun"/>
          <w:b/>
        </w:rPr>
        <w:t>⚠️ 起草方不作此决定的理由</w:t>
      </w:r>
      <w:r>
        <w:rPr>
          <w:rFonts w:ascii="SimSun" w:hAnsi="SimSun" w:eastAsia="SimSun"/>
        </w:rPr>
        <w:t>：实验只能说明当前观测到的性能差异，不能判断某特征是否构成区别于现有技术的关键。上一版曾由"A/B/C 在真实建筑上性能接近"推出"A 的创造性增益小"，该推论已作废——</w:t>
      </w:r>
      <w:r>
        <w:rPr>
          <w:rFonts w:ascii="SimSun" w:hAnsi="SimSun" w:eastAsia="SimSun"/>
          <w:b/>
        </w:rPr>
        <w:t>实验性能差异与专利创造性不是同一判断</w:t>
      </w:r>
      <w:r>
        <w:rPr>
          <w:rFonts w:ascii="SimSun" w:hAnsi="SimSun" w:eastAsia="SimSun"/>
        </w:rPr>
        <w:t>。</w:t>
      </w:r>
    </w:p>
    <w:p>
      <w:pPr>
        <w:pStyle w:val="Heading3"/>
        <w:spacing w:before="120" w:after="80"/>
      </w:pPr>
      <w:r>
        <w:rPr>
          <w:rFonts w:ascii="SimHei" w:hAnsi="SimHei" w:eastAsia="SimHei"/>
          <w:color w:val="000000"/>
          <w:sz w:val="24"/>
        </w:rPr>
        <w:t>2. 执行策略 A 是否因检索结果需要上提至独立权</w:t>
      </w:r>
    </w:p>
    <w:p>
      <w:pPr>
        <w:spacing w:after="80"/>
        <w:jc w:val="both"/>
      </w:pPr>
      <w:r>
        <w:rPr>
          <w:rFonts w:ascii="SimSun" w:hAnsi="SimSun" w:eastAsia="SimSun"/>
          <w:b/>
        </w:rPr>
        <w:t>当前状态</w:t>
      </w:r>
      <w:r>
        <w:rPr>
          <w:rFonts w:ascii="SimSun" w:hAnsi="SimSun" w:eastAsia="SimSun"/>
        </w:rPr>
        <w:t>：策略 A 在权 3，并在说明书中列为优选实施方式。</w:t>
      </w:r>
    </w:p>
    <w:p>
      <w:pPr>
        <w:spacing w:after="80"/>
        <w:jc w:val="both"/>
      </w:pPr>
      <w:r>
        <w:rPr>
          <w:rFonts w:ascii="SimSun" w:hAnsi="SimSun" w:eastAsia="SimSun"/>
          <w:b/>
        </w:rPr>
        <w:t>实验依据</w:t>
      </w:r>
      <w:r>
        <w:rPr>
          <w:rFonts w:ascii="SimSun" w:hAnsi="SimSun" w:eastAsia="SimSun"/>
        </w:rPr>
        <w:t>（详见《D》1.11）：合成场景上策略 A 的缺口加权恢复率 0.977、关键构件召回 0.956、路径 153 m，均优于策略 C 的 0.967 / 0.924 / 230 m，单位路径增益差异经多重比较校正后 p = 0.0006；真实建筑上三种策略的缺口加权恢复率为0.959 / 0.958 / 0.958。</w:t>
      </w:r>
    </w:p>
    <w:p>
      <w:pPr>
        <w:spacing w:after="80"/>
        <w:jc w:val="both"/>
      </w:pPr>
      <w:r>
        <w:rPr>
          <w:rFonts w:ascii="SimSun" w:hAnsi="SimSun" w:eastAsia="SimSun"/>
          <w:b/>
        </w:rPr>
        <w:t>正确的表述</w:t>
      </w:r>
      <w:r>
        <w:rPr>
          <w:rFonts w:ascii="SimSun" w:hAnsi="SimSun" w:eastAsia="SimSun"/>
        </w:rPr>
        <w:t>：上述数据说明在合成场景条件下策略 A 表现最好，而在真实建筑上</w:t>
      </w:r>
      <w:r>
        <w:rPr>
          <w:rFonts w:ascii="SimSun" w:hAnsi="SimSun" w:eastAsia="SimSun"/>
          <w:b/>
        </w:rPr>
        <w:t>当前没有充分证据</w:t>
      </w:r>
      <w:r>
        <w:rPr>
          <w:rFonts w:ascii="SimSun" w:hAnsi="SimSun" w:eastAsia="SimSun"/>
        </w:rPr>
        <w:t>表明策略 A 具有明显性能优势。这不构成对创造性的判断。</w:t>
      </w:r>
    </w:p>
    <w:p>
      <w:pPr>
        <w:spacing w:after="80"/>
        <w:jc w:val="both"/>
      </w:pPr>
      <w:r>
        <w:rPr>
          <w:rFonts w:ascii="SimSun" w:hAnsi="SimSun" w:eastAsia="SimSun"/>
          <w:b/>
        </w:rPr>
        <w:t>须由代理人决定的问题</w:t>
      </w:r>
      <w:r>
        <w:rPr>
          <w:rFonts w:ascii="SimSun" w:hAnsi="SimSun" w:eastAsia="SimSun"/>
        </w:rPr>
        <w:t>：检索是否表明"对所选多站排序并执行路线首站"是区别现有技术的关键特征？若是，将 A 上提至独立权（即转为稳创造性版）；若否，保持上位以避免不必要限缩。</w:t>
      </w:r>
    </w:p>
    <w:p>
      <w:pPr>
        <w:pStyle w:val="Heading3"/>
        <w:spacing w:before="120" w:after="80"/>
      </w:pPr>
      <w:r>
        <w:rPr>
          <w:rFonts w:ascii="SimHei" w:hAnsi="SimHei" w:eastAsia="SimHei"/>
          <w:color w:val="000000"/>
          <w:sz w:val="24"/>
        </w:rPr>
        <w:t>3. 预算回退的具体两阶段逻辑是否保留在从属权</w:t>
      </w:r>
    </w:p>
    <w:p>
      <w:pPr>
        <w:spacing w:after="80"/>
        <w:jc w:val="both"/>
      </w:pPr>
      <w:r>
        <w:rPr>
          <w:rFonts w:ascii="SimSun" w:hAnsi="SimSun" w:eastAsia="SimSun"/>
          <w:b/>
        </w:rPr>
        <w:t>当前状态</w:t>
      </w:r>
      <w:r>
        <w:rPr>
          <w:rFonts w:ascii="SimSun" w:hAnsi="SimSun" w:eastAsia="SimSun"/>
        </w:rPr>
        <w:t>：结果性约束在权 1，两阶段逻辑在权 2。</w:t>
      </w:r>
    </w:p>
    <w:p>
      <w:pPr>
        <w:spacing w:after="80"/>
        <w:jc w:val="both"/>
      </w:pPr>
      <w:r>
        <w:rPr>
          <w:rFonts w:ascii="SimSun" w:hAnsi="SimSun" w:eastAsia="SimSun"/>
          <w:b/>
        </w:rPr>
        <w:t>该拆分的目的</w:t>
      </w:r>
      <w:r>
        <w:rPr>
          <w:rFonts w:ascii="SimSun" w:hAnsi="SimSun" w:eastAsia="SimSun"/>
        </w:rPr>
        <w:t>：若把两阶段逻辑写死在权 1，竞争方案只需</w:t>
      </w:r>
      <w:r>
        <w:rPr>
          <w:rFonts w:ascii="SimSun" w:hAnsi="SimSun" w:eastAsia="SimSun"/>
          <w:b/>
        </w:rPr>
        <w:t>从一开始就在全部剩余预算内可达的候选中择优</w:t>
      </w:r>
      <w:r>
        <w:rPr>
          <w:rFonts w:ascii="SimSun" w:hAnsi="SimSun" w:eastAsia="SimSun"/>
        </w:rPr>
        <w:t>，不经"预选—回退"两个阶段，即可达到同样效果而不落入权 1。上位为结果性约束后，两种途径均落入权 1。说明书 S6 已同时记载这两种途径。</w:t>
      </w:r>
    </w:p>
    <w:p>
      <w:pPr>
        <w:spacing w:after="80"/>
        <w:jc w:val="both"/>
      </w:pPr>
      <w:r>
        <w:rPr>
          <w:rFonts w:ascii="SimSun" w:hAnsi="SimSun" w:eastAsia="SimSun"/>
          <w:b/>
        </w:rPr>
        <w:t>须由代理人决定的问题</w:t>
      </w:r>
      <w:r>
        <w:rPr>
          <w:rFonts w:ascii="SimSun" w:hAnsi="SimSun" w:eastAsia="SimSun"/>
        </w:rPr>
        <w:t>：（a）权 2 是否有独立保留价值，抑或其内容已被权 1 的结果性约束涵盖而显得多余？（b）若检索表明"预算内可达"这一结果性约束本身过于上位而缺乏新颖性，是否需要将权 2 上提？</w:t>
      </w:r>
    </w:p>
    <w:p>
      <w:pPr>
        <w:pStyle w:val="Heading3"/>
        <w:spacing w:before="120" w:after="80"/>
      </w:pPr>
      <w:r>
        <w:rPr>
          <w:rFonts w:ascii="SimHei" w:hAnsi="SimHei" w:eastAsia="SimHei"/>
          <w:color w:val="000000"/>
          <w:sz w:val="24"/>
        </w:rPr>
        <w:t>4. 各次级发明点是否值得单独占用从属权</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pPr>
              <w:spacing w:before="20" w:after="20"/>
            </w:pPr>
            <w:r>
              <w:rPr>
                <w:rFonts w:ascii="SimSun" w:hAnsi="SimSun" w:eastAsia="SimSun"/>
                <w:b/>
                <w:sz w:val="17"/>
              </w:rPr>
              <w:t>从属权</w:t>
            </w:r>
          </w:p>
        </w:tc>
        <w:tc>
          <w:tcPr>
            <w:tcW w:type="dxa" w:w="1728"/>
          </w:tcPr>
          <w:p>
            <w:pPr>
              <w:spacing w:before="20" w:after="20"/>
            </w:pPr>
            <w:r>
              <w:rPr>
                <w:rFonts w:ascii="SimSun" w:hAnsi="SimSun" w:eastAsia="SimSun"/>
                <w:b/>
                <w:sz w:val="17"/>
              </w:rPr>
              <w:t>内容</w:t>
            </w:r>
          </w:p>
        </w:tc>
        <w:tc>
          <w:tcPr>
            <w:tcW w:type="dxa" w:w="1728"/>
          </w:tcPr>
          <w:p>
            <w:pPr>
              <w:spacing w:before="20" w:after="20"/>
            </w:pPr>
            <w:r>
              <w:rPr>
                <w:rFonts w:ascii="SimSun" w:hAnsi="SimSun" w:eastAsia="SimSun"/>
                <w:b/>
                <w:sz w:val="17"/>
              </w:rPr>
              <w:t>支持证据（详见《D》）</w:t>
            </w:r>
          </w:p>
        </w:tc>
        <w:tc>
          <w:tcPr>
            <w:tcW w:type="dxa" w:w="1728"/>
          </w:tcPr>
          <w:p>
            <w:pPr>
              <w:spacing w:before="20" w:after="20"/>
            </w:pPr>
            <w:r>
              <w:rPr>
                <w:rFonts w:ascii="SimSun" w:hAnsi="SimSun" w:eastAsia="SimSun"/>
                <w:b/>
                <w:sz w:val="17"/>
              </w:rPr>
              <w:t>建议</w:t>
            </w:r>
          </w:p>
        </w:tc>
        <w:tc>
          <w:tcPr>
            <w:tcW w:type="dxa" w:w="1728"/>
          </w:tcPr>
          <w:p>
            <w:pPr>
              <w:spacing w:before="20" w:after="20"/>
            </w:pPr>
            <w:r>
              <w:rPr>
                <w:rFonts w:ascii="SimSun" w:hAnsi="SimSun" w:eastAsia="SimSun"/>
                <w:b/>
                <w:sz w:val="17"/>
              </w:rPr>
              <w:t>待决问题</w:t>
            </w:r>
          </w:p>
        </w:tc>
      </w:tr>
      <w:tr>
        <w:tc>
          <w:tcPr>
            <w:tcW w:type="dxa" w:w="1728"/>
          </w:tcPr>
          <w:p>
            <w:pPr>
              <w:spacing w:before="20" w:after="20"/>
            </w:pPr>
            <w:r>
              <w:rPr>
                <w:rFonts w:ascii="SimSun" w:hAnsi="SimSun" w:eastAsia="SimSun"/>
                <w:sz w:val="17"/>
              </w:rPr>
              <w:t>权 2</w:t>
            </w:r>
          </w:p>
        </w:tc>
        <w:tc>
          <w:tcPr>
            <w:tcW w:type="dxa" w:w="1728"/>
          </w:tcPr>
          <w:p>
            <w:pPr>
              <w:spacing w:before="20" w:after="20"/>
            </w:pPr>
            <w:r>
              <w:rPr>
                <w:rFonts w:ascii="SimSun" w:hAnsi="SimSun" w:eastAsia="SimSun"/>
                <w:sz w:val="17"/>
              </w:rPr>
              <w:t>两阶段预算回退（结果性约束已在权 1）</w:t>
            </w:r>
          </w:p>
        </w:tc>
        <w:tc>
          <w:tcPr>
            <w:tcW w:type="dxa" w:w="1728"/>
          </w:tcPr>
          <w:p>
            <w:pPr>
              <w:spacing w:before="20" w:after="20"/>
            </w:pPr>
            <w:r>
              <w:rPr>
                <w:rFonts w:ascii="SimSun" w:hAnsi="SimSun" w:eastAsia="SimSun"/>
                <w:sz w:val="17"/>
              </w:rPr>
              <w:t>1.5，效果极端（0.000 → 单调退化）</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见上第 3 项</w:t>
            </w:r>
          </w:p>
        </w:tc>
      </w:tr>
      <w:tr>
        <w:tc>
          <w:tcPr>
            <w:tcW w:type="dxa" w:w="1728"/>
          </w:tcPr>
          <w:p>
            <w:pPr>
              <w:spacing w:before="20" w:after="20"/>
            </w:pPr>
            <w:r>
              <w:rPr>
                <w:rFonts w:ascii="SimSun" w:hAnsi="SimSun" w:eastAsia="SimSun"/>
                <w:sz w:val="17"/>
              </w:rPr>
              <w:t>权 3</w:t>
            </w:r>
          </w:p>
        </w:tc>
        <w:tc>
          <w:tcPr>
            <w:tcW w:type="dxa" w:w="1728"/>
          </w:tcPr>
          <w:p>
            <w:pPr>
              <w:spacing w:before="20" w:after="20"/>
            </w:pPr>
            <w:r>
              <w:rPr>
                <w:rFonts w:ascii="SimSun" w:hAnsi="SimSun" w:eastAsia="SimSun"/>
                <w:sz w:val="17"/>
              </w:rPr>
              <w:t>执行策略 A（含路线排序）</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见上第 2 项</w:t>
            </w:r>
          </w:p>
        </w:tc>
      </w:tr>
      <w:tr>
        <w:tc>
          <w:tcPr>
            <w:tcW w:type="dxa" w:w="1728"/>
          </w:tcPr>
          <w:p>
            <w:pPr>
              <w:spacing w:before="20" w:after="20"/>
            </w:pPr>
            <w:r>
              <w:rPr>
                <w:rFonts w:ascii="SimSun" w:hAnsi="SimSun" w:eastAsia="SimSun"/>
                <w:sz w:val="17"/>
              </w:rPr>
              <w:t>权 4</w:t>
            </w:r>
          </w:p>
        </w:tc>
        <w:tc>
          <w:tcPr>
            <w:tcW w:type="dxa" w:w="1728"/>
          </w:tcPr>
          <w:p>
            <w:pPr>
              <w:spacing w:before="20" w:after="20"/>
            </w:pPr>
            <w:r>
              <w:rPr>
                <w:rFonts w:ascii="SimSun" w:hAnsi="SimSun" w:eastAsia="SimSun"/>
                <w:sz w:val="17"/>
              </w:rPr>
              <w:t>集合选择准则与执行策略 B</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保留为替代路径</w:t>
            </w:r>
          </w:p>
        </w:tc>
        <w:tc>
          <w:tcPr>
            <w:tcW w:type="dxa" w:w="1728"/>
          </w:tcPr>
          <w:p>
            <w:pPr>
              <w:spacing w:before="20" w:after="20"/>
            </w:pPr>
            <w:r>
              <w:rPr>
                <w:rFonts w:ascii="SimSun" w:hAnsi="SimSun" w:eastAsia="SimSun"/>
                <w:sz w:val="17"/>
              </w:rPr>
              <w:t>若检索表明比值贪心属常规手段，可考虑合并入说明书</w:t>
            </w:r>
          </w:p>
        </w:tc>
      </w:tr>
      <w:tr>
        <w:tc>
          <w:tcPr>
            <w:tcW w:type="dxa" w:w="1728"/>
          </w:tcPr>
          <w:p>
            <w:pPr>
              <w:spacing w:before="20" w:after="20"/>
            </w:pPr>
            <w:r>
              <w:rPr>
                <w:rFonts w:ascii="SimSun" w:hAnsi="SimSun" w:eastAsia="SimSun"/>
                <w:sz w:val="17"/>
              </w:rPr>
              <w:t>权 5</w:t>
            </w:r>
          </w:p>
        </w:tc>
        <w:tc>
          <w:tcPr>
            <w:tcW w:type="dxa" w:w="1728"/>
          </w:tcPr>
          <w:p>
            <w:pPr>
              <w:spacing w:before="20" w:after="20"/>
            </w:pPr>
            <w:r>
              <w:rPr>
                <w:rFonts w:ascii="SimSun" w:hAnsi="SimSun" w:eastAsia="SimSun"/>
                <w:sz w:val="17"/>
              </w:rPr>
              <w:t>执行策略 C</w:t>
            </w:r>
          </w:p>
        </w:tc>
        <w:tc>
          <w:tcPr>
            <w:tcW w:type="dxa" w:w="1728"/>
          </w:tcPr>
          <w:p>
            <w:pPr>
              <w:spacing w:before="20" w:after="20"/>
            </w:pPr>
            <w:r>
              <w:rPr>
                <w:rFonts w:ascii="SimSun" w:hAnsi="SimSun" w:eastAsia="SimSun"/>
                <w:sz w:val="17"/>
              </w:rPr>
              <w:t>1.11</w:t>
            </w:r>
          </w:p>
        </w:tc>
        <w:tc>
          <w:tcPr>
            <w:tcW w:type="dxa" w:w="1728"/>
          </w:tcPr>
          <w:p>
            <w:pPr>
              <w:spacing w:before="20" w:after="20"/>
            </w:pPr>
            <w:r>
              <w:rPr>
                <w:rFonts w:ascii="SimSun" w:hAnsi="SimSun" w:eastAsia="SimSun"/>
                <w:sz w:val="17"/>
              </w:rPr>
              <w:t>保留为替代路径</w:t>
            </w:r>
          </w:p>
        </w:tc>
        <w:tc>
          <w:tcPr>
            <w:tcW w:type="dxa" w:w="1728"/>
          </w:tcPr>
          <w:p>
            <w:pPr>
              <w:spacing w:before="20" w:after="20"/>
            </w:pPr>
            <w:r>
              <w:rPr>
                <w:rFonts w:ascii="SimSun" w:hAnsi="SimSun" w:eastAsia="SimSun"/>
                <w:sz w:val="17"/>
              </w:rPr>
              <w:t>同上</w:t>
            </w:r>
          </w:p>
        </w:tc>
      </w:tr>
      <w:tr>
        <w:tc>
          <w:tcPr>
            <w:tcW w:type="dxa" w:w="1728"/>
          </w:tcPr>
          <w:p>
            <w:pPr>
              <w:spacing w:before="20" w:after="20"/>
            </w:pPr>
            <w:r>
              <w:rPr>
                <w:rFonts w:ascii="SimSun" w:hAnsi="SimSun" w:eastAsia="SimSun"/>
                <w:sz w:val="17"/>
              </w:rPr>
              <w:t>权 6</w:t>
            </w:r>
          </w:p>
        </w:tc>
        <w:tc>
          <w:tcPr>
            <w:tcW w:type="dxa" w:w="1728"/>
          </w:tcPr>
          <w:p>
            <w:pPr>
              <w:spacing w:before="20" w:after="20"/>
            </w:pPr>
            <w:r>
              <w:rPr>
                <w:rFonts w:ascii="SimSun" w:hAnsi="SimSun" w:eastAsia="SimSun"/>
                <w:sz w:val="17"/>
              </w:rPr>
              <w:t>目标分块按构件分组</w:t>
            </w:r>
          </w:p>
        </w:tc>
        <w:tc>
          <w:tcPr>
            <w:tcW w:type="dxa" w:w="1728"/>
          </w:tcPr>
          <w:p>
            <w:pPr>
              <w:spacing w:before="20" w:after="20"/>
            </w:pPr>
            <w:r>
              <w:rPr>
                <w:rFonts w:ascii="SimSun" w:hAnsi="SimSun" w:eastAsia="SimSun"/>
                <w:sz w:val="17"/>
              </w:rPr>
              <w:t>1.6，覆盖率 0 → 100%</w:t>
            </w:r>
          </w:p>
        </w:tc>
        <w:tc>
          <w:tcPr>
            <w:tcW w:type="dxa" w:w="1728"/>
          </w:tcPr>
          <w:p>
            <w:pPr>
              <w:spacing w:before="20" w:after="20"/>
            </w:pPr>
            <w:r>
              <w:rPr>
                <w:rFonts w:ascii="SimSun" w:hAnsi="SimSun" w:eastAsia="SimSun"/>
                <w:b/>
                <w:sz w:val="17"/>
              </w:rPr>
              <w:t>建议保留</w:t>
            </w:r>
          </w:p>
        </w:tc>
        <w:tc>
          <w:tcPr>
            <w:tcW w:type="dxa" w:w="1728"/>
          </w:tcPr>
          <w:p>
            <w:pPr>
              <w:spacing w:before="20" w:after="20"/>
            </w:pPr>
            <w:r>
              <w:rPr>
                <w:rFonts w:ascii="SimSun" w:hAnsi="SimSun" w:eastAsia="SimSun"/>
                <w:sz w:val="17"/>
              </w:rPr>
              <w:t>权 6 只写"随构件数量缩放"，未限定缩放函数。若代理人认为过宽，可增设一条限定为线性缩放并限幅（说明书已给出实施方式）</w:t>
            </w:r>
          </w:p>
        </w:tc>
      </w:tr>
      <w:tr>
        <w:tc>
          <w:tcPr>
            <w:tcW w:type="dxa" w:w="1728"/>
          </w:tcPr>
          <w:p>
            <w:pPr>
              <w:spacing w:before="20" w:after="20"/>
            </w:pPr>
            <w:r>
              <w:rPr>
                <w:rFonts w:ascii="SimSun" w:hAnsi="SimSun" w:eastAsia="SimSun"/>
                <w:sz w:val="17"/>
              </w:rPr>
              <w:t>权 7</w:t>
            </w:r>
          </w:p>
        </w:tc>
        <w:tc>
          <w:tcPr>
            <w:tcW w:type="dxa" w:w="1728"/>
          </w:tcPr>
          <w:p>
            <w:pPr>
              <w:spacing w:before="20" w:after="20"/>
            </w:pPr>
            <w:r>
              <w:rPr>
                <w:rFonts w:ascii="SimSun" w:hAnsi="SimSun" w:eastAsia="SimSun"/>
                <w:sz w:val="17"/>
              </w:rPr>
              <w:t>二维栅格可通行空间（净空判据＋带电体安全距离禁入＋平台半径膨胀）</w:t>
            </w:r>
          </w:p>
        </w:tc>
        <w:tc>
          <w:tcPr>
            <w:tcW w:type="dxa" w:w="1728"/>
          </w:tcPr>
          <w:p>
            <w:pPr>
              <w:spacing w:before="20" w:after="20"/>
            </w:pPr>
            <w:r>
              <w:rPr>
                <w:rFonts w:ascii="SimSun" w:hAnsi="SimSun" w:eastAsia="SimSun"/>
                <w:sz w:val="17"/>
              </w:rPr>
              <w:t>属权 1 S2 的具体实现</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sz w:val="17"/>
              </w:rPr>
              <w:t>带电体安全膨胀是否属本领域常规？若是，可仅保留净空判据</w:t>
            </w:r>
          </w:p>
        </w:tc>
      </w:tr>
      <w:tr>
        <w:tc>
          <w:tcPr>
            <w:tcW w:type="dxa" w:w="1728"/>
          </w:tcPr>
          <w:p>
            <w:pPr>
              <w:spacing w:before="20" w:after="20"/>
            </w:pPr>
            <w:r>
              <w:rPr>
                <w:rFonts w:ascii="SimSun" w:hAnsi="SimSun" w:eastAsia="SimSun"/>
                <w:sz w:val="17"/>
              </w:rPr>
              <w:t>权 8</w:t>
            </w:r>
          </w:p>
        </w:tc>
        <w:tc>
          <w:tcPr>
            <w:tcW w:type="dxa" w:w="1728"/>
          </w:tcPr>
          <w:p>
            <w:pPr>
              <w:spacing w:before="20" w:after="20"/>
            </w:pPr>
            <w:r>
              <w:rPr>
                <w:rFonts w:ascii="SimSun" w:hAnsi="SimSun" w:eastAsia="SimSun"/>
                <w:sz w:val="17"/>
              </w:rPr>
              <w:t>单源最短路距离场</w:t>
            </w:r>
          </w:p>
        </w:tc>
        <w:tc>
          <w:tcPr>
            <w:tcW w:type="dxa" w:w="1728"/>
          </w:tcPr>
          <w:p>
            <w:pPr>
              <w:spacing w:before="20" w:after="20"/>
            </w:pPr>
            <w:r>
              <w:rPr>
                <w:rFonts w:ascii="SimSun" w:hAnsi="SimSun" w:eastAsia="SimSun"/>
                <w:sz w:val="17"/>
              </w:rPr>
              <w:t>1.8，纯计算效率</w:t>
            </w:r>
          </w:p>
        </w:tc>
        <w:tc>
          <w:tcPr>
            <w:tcW w:type="dxa" w:w="1728"/>
          </w:tcPr>
          <w:p>
            <w:pPr>
              <w:spacing w:before="20" w:after="20"/>
            </w:pPr>
            <w:r>
              <w:rPr>
                <w:rFonts w:ascii="SimSun" w:hAnsi="SimSun" w:eastAsia="SimSun"/>
                <w:sz w:val="17"/>
              </w:rPr>
              <w:t>保留</w:t>
            </w:r>
          </w:p>
        </w:tc>
        <w:tc>
          <w:tcPr>
            <w:tcW w:type="dxa" w:w="1728"/>
          </w:tcPr>
          <w:p>
            <w:pPr>
              <w:spacing w:before="20" w:after="20"/>
            </w:pPr>
            <w:r>
              <w:rPr>
                <w:rFonts w:ascii="SimSun" w:hAnsi="SimSun" w:eastAsia="SimSun"/>
                <w:b/>
                <w:sz w:val="17"/>
              </w:rPr>
              <w:t>该项是计算加速，不改变规划结果</w:t>
            </w:r>
            <w:r>
              <w:rPr>
                <w:rFonts w:ascii="SimSun" w:hAnsi="SimSun" w:eastAsia="SimSun"/>
                <w:sz w:val="17"/>
              </w:rPr>
              <w:t>。若代理人认为纯效率改进不宜单列，可移入说明书</w:t>
            </w:r>
          </w:p>
        </w:tc>
      </w:tr>
      <w:tr>
        <w:tc>
          <w:tcPr>
            <w:tcW w:type="dxa" w:w="1728"/>
          </w:tcPr>
          <w:p>
            <w:pPr>
              <w:spacing w:before="20" w:after="20"/>
            </w:pPr>
            <w:r>
              <w:rPr>
                <w:rFonts w:ascii="SimSun" w:hAnsi="SimSun" w:eastAsia="SimSun"/>
                <w:sz w:val="17"/>
              </w:rPr>
              <w:t>权 9</w:t>
            </w:r>
          </w:p>
        </w:tc>
        <w:tc>
          <w:tcPr>
            <w:tcW w:type="dxa" w:w="1728"/>
          </w:tcPr>
          <w:p>
            <w:pPr>
              <w:spacing w:before="20" w:after="20"/>
            </w:pPr>
            <w:r>
              <w:rPr>
                <w:rFonts w:ascii="SimSun" w:hAnsi="SimSun" w:eastAsia="SimSun"/>
                <w:sz w:val="17"/>
              </w:rPr>
              <w:t>预设更新条件的具体化：配准可用性判定、失败时遮挡模型与缺口证据均不更新、失败站位邻域剔除</w:t>
            </w:r>
          </w:p>
        </w:tc>
        <w:tc>
          <w:tcPr>
            <w:tcW w:type="dxa" w:w="1728"/>
          </w:tcPr>
          <w:p>
            <w:pPr>
              <w:spacing w:before="20" w:after="20"/>
            </w:pPr>
            <w:r>
              <w:rPr>
                <w:rFonts w:ascii="SimSun" w:hAnsi="SimSun" w:eastAsia="SimSun"/>
                <w:sz w:val="17"/>
              </w:rPr>
              <w:t>1.7，效果极端（0.000 → 0.876）</w:t>
            </w:r>
          </w:p>
        </w:tc>
        <w:tc>
          <w:tcPr>
            <w:tcW w:type="dxa" w:w="1728"/>
          </w:tcPr>
          <w:p>
            <w:pPr>
              <w:spacing w:before="20" w:after="20"/>
            </w:pPr>
            <w:r>
              <w:rPr>
                <w:rFonts w:ascii="SimSun" w:hAnsi="SimSun" w:eastAsia="SimSun"/>
                <w:b/>
                <w:sz w:val="17"/>
              </w:rPr>
              <w:t>建议保留</w:t>
            </w:r>
          </w:p>
        </w:tc>
        <w:tc>
          <w:tcPr>
            <w:tcW w:type="dxa" w:w="1728"/>
          </w:tcPr>
          <w:p>
            <w:pPr>
              <w:spacing w:before="20" w:after="20"/>
            </w:pPr>
            <w:r>
              <w:rPr>
                <w:rFonts w:ascii="SimSun" w:hAnsi="SimSun" w:eastAsia="SimSun"/>
                <w:sz w:val="17"/>
              </w:rPr>
              <w:t>无</w:t>
            </w:r>
          </w:p>
        </w:tc>
      </w:tr>
      <w:tr>
        <w:tc>
          <w:tcPr>
            <w:tcW w:type="dxa" w:w="1728"/>
          </w:tcPr>
          <w:p>
            <w:pPr>
              <w:spacing w:before="20" w:after="20"/>
            </w:pPr>
            <w:r>
              <w:rPr>
                <w:rFonts w:ascii="SimSun" w:hAnsi="SimSun" w:eastAsia="SimSun"/>
                <w:sz w:val="17"/>
              </w:rPr>
              <w:t>权 10</w:t>
            </w:r>
          </w:p>
        </w:tc>
        <w:tc>
          <w:tcPr>
            <w:tcW w:type="dxa" w:w="1728"/>
          </w:tcPr>
          <w:p>
            <w:pPr>
              <w:spacing w:before="20" w:after="20"/>
            </w:pPr>
            <w:r>
              <w:rPr>
                <w:rFonts w:ascii="SimSun" w:hAnsi="SimSun" w:eastAsia="SimSun"/>
                <w:sz w:val="17"/>
              </w:rPr>
              <w:t>判定追加依据信息矩阵条件数</w:t>
            </w:r>
          </w:p>
        </w:tc>
        <w:tc>
          <w:tcPr>
            <w:tcW w:type="dxa" w:w="1728"/>
          </w:tcPr>
          <w:p>
            <w:pPr>
              <w:spacing w:before="20" w:after="20"/>
            </w:pPr>
            <w:r>
              <w:rPr>
                <w:rFonts w:ascii="SimSun" w:hAnsi="SimSun" w:eastAsia="SimSun"/>
                <w:sz w:val="17"/>
              </w:rPr>
              <w:t>见《D》1.10 的限制</w:t>
            </w:r>
          </w:p>
        </w:tc>
        <w:tc>
          <w:tcPr>
            <w:tcW w:type="dxa" w:w="1728"/>
          </w:tcPr>
          <w:p>
            <w:pPr>
              <w:spacing w:before="20" w:after="20"/>
            </w:pPr>
            <w:r>
              <w:rPr>
                <w:rFonts w:ascii="SimSun" w:hAnsi="SimSun" w:eastAsia="SimSun"/>
                <w:sz w:val="17"/>
              </w:rPr>
              <w:t>保留方案、不主张效果</w:t>
            </w:r>
          </w:p>
        </w:tc>
        <w:tc>
          <w:tcPr>
            <w:tcW w:type="dxa" w:w="1728"/>
          </w:tcPr>
          <w:p>
            <w:pPr>
              <w:spacing w:before="20" w:after="20"/>
            </w:pPr>
            <w:r>
              <w:rPr>
                <w:rFonts w:ascii="SimSun" w:hAnsi="SimSun" w:eastAsia="SimSun"/>
                <w:sz w:val="17"/>
              </w:rPr>
              <w:t>该项在实验中对决策无影响（权重置零后结果逐位不变）。写入从属权不损害权 1，但实审中可能被要求说明其技术效果</w:t>
            </w:r>
          </w:p>
        </w:tc>
      </w:tr>
    </w:tbl>
    <w:p/>
    <w:p>
      <w:pPr>
        <w:pStyle w:val="Heading3"/>
        <w:spacing w:before="120" w:after="80"/>
      </w:pPr>
      <w:r>
        <w:rPr>
          <w:rFonts w:ascii="SimHei" w:hAnsi="SimHei" w:eastAsia="SimHei"/>
          <w:color w:val="000000"/>
          <w:sz w:val="24"/>
        </w:rPr>
        <w:t>5. 是否将"检测"与"规划"拆分为两件申请</w:t>
      </w:r>
    </w:p>
    <w:p>
      <w:pPr>
        <w:spacing w:after="80"/>
        <w:jc w:val="both"/>
      </w:pPr>
      <w:r>
        <w:rPr>
          <w:rFonts w:ascii="SimSun" w:hAnsi="SimSun" w:eastAsia="SimSun"/>
        </w:rPr>
        <w:t>模型外遮挡发现（S7）本身可独立产生技术效果——降低可见性预测误差（《D》1.1），该效果不依赖 S5 的站位集合选定或 S6 的执行规则。</w:t>
      </w:r>
    </w:p>
    <w:p>
      <w:pPr>
        <w:spacing w:after="80"/>
        <w:jc w:val="both"/>
      </w:pPr>
      <w:r>
        <w:rPr>
          <w:rFonts w:ascii="SimSun" w:hAnsi="SimSun" w:eastAsia="SimSun"/>
          <w:b/>
        </w:rPr>
        <w:t>理论上可以拆分以扩大保护范围</w:t>
      </w:r>
      <w:r>
        <w:rPr>
          <w:rFonts w:ascii="SimSun" w:hAnsi="SimSun" w:eastAsia="SimSun"/>
        </w:rPr>
        <w:t>：一件保护"在扫描过程中依据新增点云修正规划用遮挡模型的方法"，另一件保护"可通行与预算约束下的多站补充扫描规划方法"。</w:t>
      </w:r>
    </w:p>
    <w:p>
      <w:pPr>
        <w:spacing w:after="80"/>
        <w:jc w:val="both"/>
      </w:pPr>
      <w:r>
        <w:rPr>
          <w:rFonts w:ascii="SimSun" w:hAnsi="SimSun" w:eastAsia="SimSun"/>
          <w:b/>
        </w:rPr>
        <w:t>这是保护范围与创造性稳定性之间的策略选择，应结合检索结果决定。</w:t>
      </w:r>
      <w:r>
        <w:rPr>
          <w:rFonts w:ascii="SimSun" w:hAnsi="SimSun" w:eastAsia="SimSun"/>
        </w:rPr>
        <w:t xml:space="preserve"> 起草方不作决定。</w:t>
      </w:r>
    </w:p>
    <w:p>
      <w:pPr>
        <w:pStyle w:val="Heading2"/>
        <w:spacing w:before="200" w:after="80"/>
      </w:pPr>
      <w:r>
        <w:rPr>
          <w:rFonts w:ascii="SimHei" w:hAnsi="SimHei" w:eastAsia="SimHei"/>
          <w:color w:val="000000"/>
          <w:sz w:val="27"/>
        </w:rPr>
        <w:t>二、法律事项</w:t>
      </w:r>
    </w:p>
    <w:p>
      <w:pPr>
        <w:pStyle w:val="Heading3"/>
        <w:spacing w:before="120" w:after="80"/>
      </w:pPr>
      <w:r>
        <w:rPr>
          <w:rFonts w:ascii="SimHei" w:hAnsi="SimHei" w:eastAsia="SimHei"/>
          <w:color w:val="000000"/>
          <w:sz w:val="24"/>
        </w:rPr>
        <w:t>6. 母专利的申请日、公开日、申请状态、优先权及抵触申请风险</w:t>
      </w:r>
    </w:p>
    <w:p>
      <w:pPr>
        <w:spacing w:after="80"/>
        <w:jc w:val="both"/>
      </w:pPr>
      <w:r>
        <w:rPr>
          <w:rFonts w:ascii="SimSun" w:hAnsi="SimSun" w:eastAsia="SimSun"/>
          <w:b/>
        </w:rPr>
        <w:t>须确认的事实</w:t>
      </w:r>
      <w:r>
        <w:rPr>
          <w:rFonts w:ascii="SimSun" w:hAnsi="SimSun" w:eastAsia="SimSun"/>
        </w:rPr>
        <w:t>：</w:t>
      </w:r>
    </w:p>
    <w:tbl>
      <w:tblPr>
        <w:tblStyle w:val="TableGrid"/>
        <w:tblW w:type="auto" w:w="0"/>
        <w:jc w:val="center"/>
        <w:tblLook w:firstColumn="1" w:firstRow="1" w:lastColumn="0" w:lastRow="0" w:noHBand="0" w:noVBand="1" w:val="04A0"/>
      </w:tblPr>
      <w:tblGrid>
        <w:gridCol w:w="4320"/>
        <w:gridCol w:w="4320"/>
      </w:tblGrid>
      <w:tr>
        <w:tc>
          <w:tcPr>
            <w:tcW w:type="dxa" w:w="4320"/>
          </w:tcPr>
          <w:p>
            <w:pPr>
              <w:spacing w:before="20" w:after="20"/>
            </w:pPr>
            <w:r>
              <w:rPr>
                <w:rFonts w:ascii="SimSun" w:hAnsi="SimSun" w:eastAsia="SimSun"/>
                <w:b/>
                <w:sz w:val="17"/>
              </w:rPr>
              <w:t>项</w:t>
            </w:r>
          </w:p>
        </w:tc>
        <w:tc>
          <w:tcPr>
            <w:tcW w:type="dxa" w:w="4320"/>
          </w:tcPr>
          <w:p>
            <w:pPr>
              <w:spacing w:before="20" w:after="20"/>
            </w:pPr>
            <w:r>
              <w:rPr>
                <w:rFonts w:ascii="SimSun" w:hAnsi="SimSun" w:eastAsia="SimSun"/>
                <w:b/>
                <w:sz w:val="17"/>
              </w:rPr>
              <w:t>为何影响本申请</w:t>
            </w:r>
          </w:p>
        </w:tc>
      </w:tr>
      <w:tr>
        <w:tc>
          <w:tcPr>
            <w:tcW w:type="dxa" w:w="4320"/>
          </w:tcPr>
          <w:p>
            <w:pPr>
              <w:spacing w:before="20" w:after="20"/>
            </w:pPr>
            <w:r>
              <w:rPr>
                <w:rFonts w:ascii="SimSun" w:hAnsi="SimSun" w:eastAsia="SimSun"/>
                <w:sz w:val="17"/>
              </w:rPr>
              <w:t>母专利的</w:t>
            </w:r>
            <w:r>
              <w:rPr>
                <w:rFonts w:ascii="SimSun" w:hAnsi="SimSun" w:eastAsia="SimSun"/>
                <w:b/>
                <w:sz w:val="17"/>
              </w:rPr>
              <w:t>申请日</w:t>
            </w:r>
          </w:p>
        </w:tc>
        <w:tc>
          <w:tcPr>
            <w:tcW w:type="dxa" w:w="4320"/>
          </w:tcPr>
          <w:p>
            <w:pPr>
              <w:spacing w:before="20" w:after="20"/>
            </w:pPr>
            <w:r>
              <w:rPr>
                <w:rFonts w:ascii="SimSun" w:hAnsi="SimSun" w:eastAsia="SimSun"/>
                <w:sz w:val="17"/>
              </w:rPr>
              <w:t>决定本申请可否在优先权期限内主张优先权</w:t>
            </w:r>
          </w:p>
        </w:tc>
      </w:tr>
      <w:tr>
        <w:tc>
          <w:tcPr>
            <w:tcW w:type="dxa" w:w="4320"/>
          </w:tcPr>
          <w:p>
            <w:pPr>
              <w:spacing w:before="20" w:after="20"/>
            </w:pPr>
            <w:r>
              <w:rPr>
                <w:rFonts w:ascii="SimSun" w:hAnsi="SimSun" w:eastAsia="SimSun"/>
                <w:sz w:val="17"/>
              </w:rPr>
              <w:t>母专利的</w:t>
            </w:r>
            <w:r>
              <w:rPr>
                <w:rFonts w:ascii="SimSun" w:hAnsi="SimSun" w:eastAsia="SimSun"/>
                <w:b/>
                <w:sz w:val="17"/>
              </w:rPr>
              <w:t>公开日</w:t>
            </w:r>
          </w:p>
        </w:tc>
        <w:tc>
          <w:tcPr>
            <w:tcW w:type="dxa" w:w="4320"/>
          </w:tcPr>
          <w:p>
            <w:pPr>
              <w:spacing w:before="20" w:after="20"/>
            </w:pPr>
            <w:r>
              <w:rPr>
                <w:rFonts w:ascii="SimSun" w:hAnsi="SimSun" w:eastAsia="SimSun"/>
                <w:sz w:val="17"/>
              </w:rPr>
              <w:t>若已公开且早于本申请申请日，母专利可能构成本申请的现有技术</w:t>
            </w:r>
          </w:p>
        </w:tc>
      </w:tr>
      <w:tr>
        <w:tc>
          <w:tcPr>
            <w:tcW w:type="dxa" w:w="4320"/>
          </w:tcPr>
          <w:p>
            <w:pPr>
              <w:spacing w:before="20" w:after="20"/>
            </w:pPr>
            <w:r>
              <w:rPr>
                <w:rFonts w:ascii="SimSun" w:hAnsi="SimSun" w:eastAsia="SimSun"/>
                <w:sz w:val="17"/>
              </w:rPr>
              <w:t>母专利的</w:t>
            </w:r>
            <w:r>
              <w:rPr>
                <w:rFonts w:ascii="SimSun" w:hAnsi="SimSun" w:eastAsia="SimSun"/>
                <w:b/>
                <w:sz w:val="17"/>
              </w:rPr>
              <w:t>当前申请状态</w:t>
            </w:r>
          </w:p>
        </w:tc>
        <w:tc>
          <w:tcPr>
            <w:tcW w:type="dxa" w:w="4320"/>
          </w:tcPr>
          <w:p>
            <w:pPr>
              <w:spacing w:before="20" w:after="20"/>
            </w:pPr>
            <w:r>
              <w:rPr>
                <w:rFonts w:ascii="SimSun" w:hAnsi="SimSun" w:eastAsia="SimSun"/>
                <w:sz w:val="17"/>
              </w:rPr>
              <w:t>若尚在实审且未公开，可能构成抵触申请</w:t>
            </w:r>
          </w:p>
        </w:tc>
      </w:tr>
      <w:tr>
        <w:tc>
          <w:tcPr>
            <w:tcW w:type="dxa" w:w="4320"/>
          </w:tcPr>
          <w:p>
            <w:pPr>
              <w:spacing w:before="20" w:after="20"/>
            </w:pPr>
            <w:r>
              <w:rPr>
                <w:rFonts w:ascii="SimSun" w:hAnsi="SimSun" w:eastAsia="SimSun"/>
                <w:sz w:val="17"/>
              </w:rPr>
              <w:t>是否</w:t>
            </w:r>
            <w:r>
              <w:rPr>
                <w:rFonts w:ascii="SimSun" w:hAnsi="SimSun" w:eastAsia="SimSun"/>
                <w:b/>
                <w:sz w:val="17"/>
              </w:rPr>
              <w:t>可以或需要主张母专利的优先权</w:t>
            </w:r>
          </w:p>
        </w:tc>
        <w:tc>
          <w:tcPr>
            <w:tcW w:type="dxa" w:w="4320"/>
          </w:tcPr>
          <w:p>
            <w:pPr>
              <w:spacing w:before="20" w:after="20"/>
            </w:pPr>
            <w:r>
              <w:rPr>
                <w:rFonts w:ascii="SimSun" w:hAnsi="SimSun" w:eastAsia="SimSun"/>
                <w:sz w:val="17"/>
              </w:rPr>
              <w:t>影响权 1 的上位层级取舍</w:t>
            </w:r>
          </w:p>
        </w:tc>
      </w:tr>
    </w:tbl>
    <w:p/>
    <w:p>
      <w:pPr>
        <w:spacing w:after="80"/>
        <w:jc w:val="both"/>
      </w:pPr>
      <w:r>
        <w:rPr>
          <w:rFonts w:ascii="SimSun" w:hAnsi="SimSun" w:eastAsia="SimSun"/>
          <w:b/>
        </w:rPr>
        <w:t>本稿已采取的处理</w:t>
      </w:r>
      <w:r>
        <w:rPr>
          <w:rFonts w:ascii="SimSun" w:hAnsi="SimSun" w:eastAsia="SimSun"/>
        </w:rPr>
        <w:t>：按"本申请作为独立的改进技术方案提交"的前提撰写。</w:t>
      </w:r>
    </w:p>
    <w:p>
      <w:pPr>
        <w:pStyle w:val="ListBullet"/>
        <w:ind w:left="360"/>
      </w:pPr>
      <w:r>
        <w:rPr>
          <w:rFonts w:ascii="SimSun" w:hAnsi="SimSun" w:eastAsia="SimSun"/>
        </w:rPr>
        <w:t>未假设可以主张母专利优先权；</w:t>
      </w:r>
    </w:p>
    <w:p>
      <w:pPr>
        <w:pStyle w:val="ListBullet"/>
        <w:ind w:left="360"/>
      </w:pPr>
      <w:r>
        <w:rPr>
          <w:rFonts w:ascii="SimSun" w:hAnsi="SimSun" w:eastAsia="SimSun"/>
        </w:rPr>
        <w:t>未就母专利是否已公开作任何法律结论；</w:t>
      </w:r>
    </w:p>
    <w:p>
      <w:pPr>
        <w:pStyle w:val="ListBullet"/>
        <w:ind w:left="360"/>
      </w:pPr>
      <w:r>
        <w:rPr>
          <w:rFonts w:ascii="SimSun" w:hAnsi="SimSun" w:eastAsia="SimSun"/>
        </w:rPr>
        <w:t>正文不依赖母专利的法律关系才能成立。</w:t>
      </w:r>
    </w:p>
    <w:p>
      <w:pPr>
        <w:pStyle w:val="Heading3"/>
        <w:spacing w:before="120" w:after="80"/>
      </w:pPr>
      <w:r>
        <w:rPr>
          <w:rFonts w:ascii="SimHei" w:hAnsi="SimHei" w:eastAsia="SimHei"/>
          <w:color w:val="000000"/>
          <w:sz w:val="24"/>
        </w:rPr>
        <w:t>7. 与母专利保护范围的关系</w:t>
      </w:r>
    </w:p>
    <w:p>
      <w:pPr>
        <w:spacing w:after="80"/>
        <w:jc w:val="both"/>
      </w:pPr>
      <w:r>
        <w:rPr>
          <w:rFonts w:ascii="SimSun" w:hAnsi="SimSun" w:eastAsia="SimSun"/>
        </w:rPr>
        <w:t>本申请中关于"视点价值如何计算得更准"的部分（射线求交遮挡计算、点密度模型）在性质上是母专利相应步骤的下位具体化，</w:t>
      </w:r>
      <w:r>
        <w:rPr>
          <w:rFonts w:ascii="SimSun" w:hAnsi="SimSun" w:eastAsia="SimSun"/>
          <w:b/>
        </w:rPr>
        <w:t>实施本申请可能落入母专利的保护范围</w:t>
      </w:r>
      <w:r>
        <w:rPr>
          <w:rFonts w:ascii="SimSun" w:hAnsi="SimSun" w:eastAsia="SimSun"/>
        </w:rPr>
        <w:t>。因属同一申请人，该情形影响实施许可安排而非本申请的授权，但须由代理人确认这一判断。</w:t>
      </w:r>
    </w:p>
    <w:p>
      <w:pPr>
        <w:pStyle w:val="Heading3"/>
        <w:spacing w:before="120" w:after="80"/>
      </w:pPr>
      <w:r>
        <w:rPr>
          <w:rFonts w:ascii="SimHei" w:hAnsi="SimHei" w:eastAsia="SimHei"/>
          <w:color w:val="000000"/>
          <w:sz w:val="24"/>
        </w:rPr>
        <w:t>8. 实验数据的对外披露范围</w:t>
      </w:r>
    </w:p>
    <w:p>
      <w:pPr>
        <w:spacing w:after="80"/>
        <w:jc w:val="both"/>
      </w:pPr>
      <w:r>
        <w:rPr>
          <w:rFonts w:ascii="SimSun" w:hAnsi="SimSun" w:eastAsia="SimSun"/>
        </w:rPr>
        <w:t>说明书实施例二使用了第三方公开数据集的设计模型与实测点云。须确认该数据集的许可条款是否允许在专利说明书中引用其统计特征（顶点数、三角面数、点数、占地尺寸、表面积）。</w:t>
      </w:r>
    </w:p>
    <w:p>
      <w:pPr>
        <w:pStyle w:val="Heading2"/>
        <w:spacing w:before="200" w:after="80"/>
      </w:pPr>
      <w:r>
        <w:rPr>
          <w:rFonts w:ascii="SimHei" w:hAnsi="SimHei" w:eastAsia="SimHei"/>
          <w:color w:val="000000"/>
          <w:sz w:val="27"/>
        </w:rPr>
        <w:t>三、非本申请必要内容（未来改进）</w:t>
      </w:r>
    </w:p>
    <w:p>
      <w:pPr>
        <w:spacing w:after="80"/>
        <w:jc w:val="both"/>
      </w:pPr>
      <w:r>
        <w:rPr>
          <w:rFonts w:ascii="SimSun" w:hAnsi="SimSun" w:eastAsia="SimSun"/>
        </w:rPr>
        <w:t>以下为起草过程中识别出的可改进方向。按发明人的收口决定，</w:t>
      </w:r>
      <w:r>
        <w:rPr>
          <w:rFonts w:ascii="SimSun" w:hAnsi="SimSun" w:eastAsia="SimSun"/>
          <w:b/>
        </w:rPr>
        <w:t>均不纳入本轮修改范围，也不写入权利要求</w:t>
      </w:r>
      <w:r>
        <w:rPr>
          <w:rFonts w:ascii="SimSun" w:hAnsi="SimSun" w:eastAsia="SimSun"/>
        </w:rPr>
        <w:t>，在此登记以备后续申请评估。</w:t>
      </w:r>
    </w:p>
    <w:p>
      <w:pPr>
        <w:pStyle w:val="ListNumber"/>
        <w:ind w:left="360"/>
      </w:pPr>
      <w:r>
        <w:rPr>
          <w:rFonts w:ascii="SimSun" w:hAnsi="SimSun" w:eastAsia="SimSun"/>
          <w:b/>
        </w:rPr>
        <w:t>体素外扩的抑制措施</w:t>
      </w:r>
      <w:r>
        <w:rPr>
          <w:rFonts w:ascii="SimSun" w:hAnsi="SimSun" w:eastAsia="SimSun"/>
        </w:rPr>
        <w:t>（《D》1.12）。现有实现无此措施；可考虑仅并入被多个站位一致判定为模型外的体素，或按体素内点数设置占据阈值。</w:t>
      </w:r>
    </w:p>
    <w:p>
      <w:pPr>
        <w:pStyle w:val="ListNumber"/>
        <w:ind w:left="360"/>
      </w:pPr>
      <w:r>
        <w:rPr>
          <w:rFonts w:ascii="SimSun" w:hAnsi="SimSun" w:eastAsia="SimSun"/>
          <w:b/>
        </w:rPr>
        <w:t>设备级分组</w:t>
      </w:r>
      <w:r>
        <w:rPr>
          <w:rFonts w:ascii="SimSun" w:hAnsi="SimSun" w:eastAsia="SimSun"/>
        </w:rPr>
        <w:t>（《D》1.13）。使"构件等权"对齐到设备台数而非建模图元。</w:t>
      </w:r>
    </w:p>
    <w:p>
      <w:pPr>
        <w:pStyle w:val="ListNumber"/>
        <w:ind w:left="360"/>
      </w:pPr>
      <w:r>
        <w:rPr>
          <w:rFonts w:ascii="SimSun" w:hAnsi="SimSun" w:eastAsia="SimSun"/>
          <w:b/>
        </w:rPr>
        <w:t>模型外物件的资产判别</w:t>
      </w:r>
      <w:r>
        <w:rPr>
          <w:rFonts w:ascii="SimSun" w:hAnsi="SimSun" w:eastAsia="SimSun"/>
        </w:rPr>
        <w:t>。本方案将现场模型外物件一律视为遮挡体。若该物件实为应扫资产（如新增设备尚未录入模型），当前方案不会为其生成候选站位。可在说明书中提示"若现场新增物件属应扫资产，应先更新设计模型再执行本方法"——是否补入由发明人决定。</w:t>
      </w:r>
    </w:p>
    <w:p>
      <w:pPr>
        <w:pStyle w:val="ListNumber"/>
        <w:ind w:left="360"/>
      </w:pPr>
      <w:r>
        <w:rPr>
          <w:rFonts w:ascii="SimSun" w:hAnsi="SimSun" w:eastAsia="SimSun"/>
          <w:b/>
        </w:rPr>
        <w:t>配准判定的位姿误差量级估计</w:t>
      </w:r>
      <w:r>
        <w:rPr>
          <w:rFonts w:ascii="SimSun" w:hAnsi="SimSun" w:eastAsia="SimSun"/>
        </w:rPr>
        <w:t>。现有实现中该分支在常见取值下实际不触发，判定等价于重叠比例阈值比较。若后续要主张其效果，须先使该分支在真实取值范围内可被触发。</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