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历史过程稿 —— 勿外发</w:t>
      </w:r>
    </w:p>
    <w:p>
      <w:pPr>
        <w:spacing w:after="80"/>
        <w:jc w:val="both"/>
      </w:pPr>
      <w:r>
        <w:rPr>
          <w:rFonts w:ascii="SimSun" w:hAnsi="SimSun" w:eastAsia="SimSun"/>
        </w:rPr>
        <w:t>本目录中的文件是撰写过程中的中间产物，</w:t>
      </w:r>
      <w:r>
        <w:rPr>
          <w:rFonts w:ascii="SimSun" w:hAnsi="SimSun" w:eastAsia="SimSun"/>
          <w:b/>
        </w:rPr>
        <w:t>其中的逻辑已被 01/02/03 目录下的定稿取代，且与定稿存在明确不一致</w:t>
      </w:r>
      <w:r>
        <w:rPr>
          <w:rFonts w:ascii="SimSun" w:hAnsi="SimSun" w:eastAsia="SimSun"/>
        </w:rPr>
        <w:t>，例如：</w:t>
      </w:r>
    </w:p>
    <w:p>
      <w:pPr>
        <w:pStyle w:val="ListBullet"/>
        <w:ind w:left="360"/>
      </w:pPr>
      <w:r>
        <w:rPr>
          <w:rFonts w:ascii="SimSun" w:hAnsi="SimSun" w:eastAsia="SimSun"/>
        </w:rPr>
        <w:t>仍写"路径与作业时间预算"（定稿已核定为</w:t>
      </w:r>
      <w:r>
        <w:rPr>
          <w:rFonts w:ascii="SimSun" w:hAnsi="SimSun" w:eastAsia="SimSun"/>
          <w:b/>
        </w:rPr>
        <w:t>纯可通行路径代价预算</w:t>
      </w:r>
      <w:r>
        <w:rPr>
          <w:rFonts w:ascii="SimSun" w:hAnsi="SimSun" w:eastAsia="SimSun"/>
        </w:rPr>
        <w:t>）；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S5 输出仍写"站集与开环路线"（定稿的 S5 </w:t>
      </w:r>
      <w:r>
        <w:rPr>
          <w:rFonts w:ascii="SimSun" w:hAnsi="SimSun" w:eastAsia="SimSun"/>
          <w:b/>
        </w:rPr>
        <w:t>不生成路线</w:t>
      </w:r>
      <w:r>
        <w:rPr>
          <w:rFonts w:ascii="SimSun" w:hAnsi="SimSun" w:eastAsia="SimSun"/>
        </w:rPr>
        <w:t>，路线排序在权 3）；</w:t>
      </w:r>
    </w:p>
    <w:p>
      <w:pPr>
        <w:pStyle w:val="ListBullet"/>
        <w:ind w:left="360"/>
      </w:pPr>
      <w:r>
        <w:rPr>
          <w:rFonts w:ascii="SimSun" w:hAnsi="SimSun" w:eastAsia="SimSun"/>
        </w:rPr>
        <w:t>仍使用"二维半栅格"（定稿为"二维栅格"）；</w:t>
      </w:r>
    </w:p>
    <w:p>
      <w:pPr>
        <w:pStyle w:val="ListBullet"/>
        <w:ind w:left="360"/>
      </w:pPr>
      <w:r>
        <w:rPr>
          <w:rFonts w:ascii="SimSun" w:hAnsi="SimSun" w:eastAsia="SimSun"/>
        </w:rPr>
        <w:t>仍使用第一轮的临时步骤编号。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不得随交付材料发给合作方或代理人。</w:t>
      </w:r>
      <w:r>
        <w:rPr>
          <w:rFonts w:ascii="SimSun" w:hAnsi="SimSun" w:eastAsia="SimSun"/>
        </w:rPr>
        <w:t xml:space="preserve"> 仅供我方追溯撰写过程之用。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