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交付：第二件专利《一种基于设计模型与在线遮挡发现的补充扫描规划方法及系统》</w:t>
      </w:r>
    </w:p>
    <w:p>
      <w:pPr>
        <w:spacing w:after="80"/>
        <w:jc w:val="both"/>
      </w:pPr>
      <w:r>
        <w:rPr>
          <w:rFonts w:ascii="SimSun" w:hAnsi="SimSun" w:eastAsia="SimSun"/>
          <w:b/>
        </w:rPr>
        <w:t>交付日期</w:t>
      </w:r>
      <w:r>
        <w:rPr>
          <w:rFonts w:ascii="SimSun" w:hAnsi="SimSun" w:eastAsia="SimSun"/>
        </w:rPr>
        <w:t>：2026-08-09</w:t>
      </w:r>
      <w:r>
        <w:rPr>
          <w:rFonts w:ascii="SimSun" w:hAnsi="SimSun" w:eastAsia="SimSun"/>
          <w:b/>
        </w:rPr>
        <w:t>版本</w:t>
      </w:r>
      <w:r>
        <w:rPr>
          <w:rFonts w:ascii="SimSun" w:hAnsi="SimSun" w:eastAsia="SimSun"/>
        </w:rPr>
        <w:t xml:space="preserve">：第七轮交付前收口后定稿　　</w:t>
      </w:r>
      <w:r>
        <w:rPr>
          <w:rFonts w:ascii="SimSun" w:hAnsi="SimSun" w:eastAsia="SimSun"/>
          <w:b/>
        </w:rPr>
        <w:t>格式</w:t>
      </w:r>
      <w:r>
        <w:rPr>
          <w:rFonts w:ascii="SimSun" w:hAnsi="SimSun" w:eastAsia="SimSun"/>
        </w:rPr>
        <w:t>：全部文档提供 Word（.docx）与 Markdown 两份</w:t>
      </w:r>
      <w:r>
        <w:rPr>
          <w:rFonts w:ascii="SimSun" w:hAnsi="SimSun" w:eastAsia="SimSun"/>
          <w:b/>
        </w:rPr>
        <w:t>状态</w:t>
      </w:r>
      <w:r>
        <w:rPr>
          <w:rFonts w:ascii="SimSun" w:hAnsi="SimSun" w:eastAsia="SimSun"/>
        </w:rPr>
        <w:t xml:space="preserve">：严重问题 0，重要问题 0 —— </w:t>
      </w:r>
      <w:r>
        <w:rPr>
          <w:rFonts w:ascii="SimSun" w:hAnsi="SimSun" w:eastAsia="SimSun"/>
          <w:b/>
        </w:rPr>
        <w:t>可交代理人进行正式权项布局、现有技术检索及法律审查</w:t>
      </w:r>
      <w:r>
        <w:rPr>
          <w:rFonts w:ascii="SimSun" w:hAnsi="SimSun" w:eastAsia="SimSun"/>
          <w:b/>
        </w:rPr>
        <w:t>权项版本</w:t>
      </w:r>
      <w:r>
        <w:rPr>
          <w:rFonts w:ascii="SimSun" w:hAnsi="SimSun" w:eastAsia="SimSun"/>
        </w:rPr>
        <w:t xml:space="preserve">：宽保护方案（主稿）；稳创造性方案见 </w:t>
      </w:r>
      <w:r>
        <w:rPr>
          <w:rFonts w:ascii="Consolas" w:hAnsi="Consolas" w:eastAsia="Consolas"/>
          <w:sz w:val="18"/>
        </w:rPr>
        <w:t>03_内部材料/C_…</w:t>
      </w:r>
      <w:r>
        <w:rPr>
          <w:rFonts w:ascii="SimSun" w:hAnsi="SimSun" w:eastAsia="SimSun"/>
        </w:rPr>
        <w:t xml:space="preserve"> 第 1 项</w:t>
      </w:r>
    </w:p>
    <w:p>
      <w:pPr>
        <w:pStyle w:val="Heading2"/>
        <w:spacing w:before="200" w:after="80"/>
      </w:pPr>
      <w:r>
        <w:rPr>
          <w:rFonts w:ascii="SimHei" w:hAnsi="SimHei" w:eastAsia="SimHei"/>
          <w:color w:val="000000"/>
          <w:sz w:val="27"/>
        </w:rPr>
        <w:t>目录</w:t>
      </w:r>
    </w:p>
    <w:p>
      <w:pPr>
        <w:ind w:left="280"/>
      </w:pPr>
      <w:r>
        <w:rPr>
          <w:rFonts w:ascii="Consolas" w:hAnsi="Consolas" w:eastAsia="Consolas"/>
          <w:color w:val="333333"/>
          <w:sz w:val="17"/>
        </w:rPr>
        <w:t>01_申请文件/          ← 交给代理人的专利正文</w:t>
        <w:br/>
        <w:t xml:space="preserve">    A_权利要求书_代理人审阅稿.（docx | md）</w:t>
        <w:br/>
        <w:t xml:space="preserve">    B_说明书_代理人审阅稿.（docx | md）</w:t>
        <w:br/>
        <w:br/>
        <w:t>02_附图/              ← 六幅附图及其绘制说明</w:t>
        <w:br/>
        <w:t xml:space="preserve">    附图.docx                     ← 六幅图内嵌一份，便于随件送审</w:t>
        <w:br/>
        <w:t xml:space="preserve">    图1_总体流程.（svg|png）</w:t>
        <w:br/>
        <w:t xml:space="preserve">    图2_可通行空间.（svg|png）</w:t>
        <w:br/>
        <w:t xml:space="preserve">    图3_候选站位与距离层.（svg|png）</w:t>
        <w:br/>
        <w:t xml:space="preserve">    图4_在线遮挡发现.（svg|png）</w:t>
        <w:br/>
        <w:t xml:space="preserve">    图5_等代价边界.（svg|png）</w:t>
        <w:br/>
        <w:t xml:space="preserve">    图6_目标分块选取.（svg|png）</w:t>
        <w:br/>
        <w:t xml:space="preserve">    E_附图绘制说明.（docx | md）</w:t>
        <w:br/>
        <w:t xml:space="preserve">    附图生成脚本.py</w:t>
        <w:br/>
        <w:br/>
        <w:t>03_内部材料/          ← 不随专利正文提交</w:t>
        <w:br/>
        <w:t xml:space="preserve">    C_待代理人确认的权项与法律策略事项.（docx | md）</w:t>
        <w:br/>
        <w:t xml:space="preserve">    D_实验与证据追溯表.（docx | md）</w:t>
        <w:br/>
        <w:t xml:space="preserve">    最终交付检查表.（docx | md）</w:t>
        <w:br/>
        <w:br/>
        <w:t>05_历史过程稿_勿外发/  ← **不得随交付发出**，与定稿存在明确不一致</w:t>
        <w:br/>
        <w:t xml:space="preserve">    README_勿外发.（docx | md）</w:t>
        <w:br/>
        <w:t xml:space="preserve">    历史过程稿_勿外发_阶段1-3技术理解与发明点.（docx | md）</w:t>
        <w:br/>
        <w:t xml:space="preserve">    历史过程稿_勿外发_阶段4-5权项骨架.（docx | md）</w:t>
        <w:br/>
        <w:br/>
        <w:t>04_实验记录/          ← D 表所引结果的原始汇总</w:t>
        <w:br/>
        <w:t xml:space="preserve">    exp2/    合成场站基准（144 次运行，24 组配对）</w:t>
        <w:br/>
        <w:t xml:space="preserve">    exp5/    跨规模与密度稳定性（108 次运行，9 类场景）</w:t>
        <w:br/>
        <w:t xml:space="preserve">    exp3b/   模型外遮挡物对照（60 次运行，15 组配对）</w:t>
        <w:br/>
        <w:t xml:space="preserve">    exp6/    真实建筑实施例（16 次运行）</w:t>
        <w:br/>
        <w:t xml:space="preserve">    证据_遮挡发现/  可见性预测误差专项测量</w:t>
        <w:br/>
        <w:t xml:space="preserve">    执行策略对照_summary.md   执行规则 A/B/C 对照（45 次运行）</w:t>
      </w:r>
    </w:p>
    <w:p>
      <w:pPr>
        <w:pStyle w:val="Heading2"/>
        <w:spacing w:before="200" w:after="80"/>
      </w:pPr>
      <w:r>
        <w:rPr>
          <w:rFonts w:ascii="SimHei" w:hAnsi="SimHei" w:eastAsia="SimHei"/>
          <w:color w:val="000000"/>
          <w:sz w:val="27"/>
        </w:rPr>
        <w:t>阅读顺序</w:t>
      </w:r>
    </w:p>
    <w:p>
      <w:pPr>
        <w:spacing w:after="80"/>
        <w:jc w:val="both"/>
      </w:pPr>
      <w:r>
        <w:rPr>
          <w:rFonts w:ascii="SimSun" w:hAnsi="SimSun" w:eastAsia="SimSun"/>
          <w:b/>
        </w:rPr>
        <w:t>给代理人</w:t>
      </w:r>
      <w:r>
        <w:rPr>
          <w:rFonts w:ascii="SimSun" w:hAnsi="SimSun" w:eastAsia="SimSun"/>
        </w:rPr>
        <w:t xml:space="preserve">：先看 </w:t>
      </w:r>
      <w:r>
        <w:rPr>
          <w:rFonts w:ascii="Consolas" w:hAnsi="Consolas" w:eastAsia="Consolas"/>
          <w:sz w:val="18"/>
        </w:rPr>
        <w:t>03_内部材料/最终交付检查表.md</w:t>
      </w:r>
      <w:r>
        <w:rPr>
          <w:rFonts w:ascii="SimSun" w:hAnsi="SimSun" w:eastAsia="SimSun"/>
        </w:rPr>
        <w:t xml:space="preserve">（一页看清状态与待决事项），再看 </w:t>
      </w:r>
      <w:r>
        <w:rPr>
          <w:rFonts w:ascii="Consolas" w:hAnsi="Consolas" w:eastAsia="Consolas"/>
          <w:sz w:val="18"/>
        </w:rPr>
        <w:t>01_申请文件/</w:t>
      </w:r>
      <w:r>
        <w:rPr>
          <w:rFonts w:ascii="SimSun" w:hAnsi="SimSun" w:eastAsia="SimSun"/>
        </w:rPr>
        <w:t xml:space="preserve">，附图对照 </w:t>
      </w:r>
      <w:r>
        <w:rPr>
          <w:rFonts w:ascii="Consolas" w:hAnsi="Consolas" w:eastAsia="Consolas"/>
          <w:sz w:val="18"/>
        </w:rPr>
        <w:t>02_附图/</w:t>
      </w:r>
      <w:r>
        <w:rPr>
          <w:rFonts w:ascii="SimSun" w:hAnsi="SimSun" w:eastAsia="SimSun"/>
        </w:rPr>
        <w:t>。着手权项布局前请先读</w:t>
      </w:r>
      <w:r>
        <w:rPr>
          <w:rFonts w:ascii="Consolas" w:hAnsi="Consolas" w:eastAsia="Consolas"/>
          <w:sz w:val="18"/>
        </w:rPr>
        <w:t>03_内部材料/C_…</w:t>
      </w:r>
      <w:r>
        <w:rPr>
          <w:rFonts w:ascii="SimSun" w:hAnsi="SimSun" w:eastAsia="SimSun"/>
        </w:rPr>
        <w:t>——其中母专利的法律状态是布局的前置条件。</w:t>
      </w:r>
    </w:p>
    <w:p>
      <w:pPr>
        <w:spacing w:after="80"/>
        <w:jc w:val="both"/>
      </w:pPr>
      <w:r>
        <w:rPr>
          <w:rFonts w:ascii="SimSun" w:hAnsi="SimSun" w:eastAsia="SimSun"/>
          <w:b/>
        </w:rPr>
        <w:t>给我方内部</w:t>
      </w:r>
      <w:r>
        <w:rPr>
          <w:rFonts w:ascii="SimSun" w:hAnsi="SimSun" w:eastAsia="SimSun"/>
        </w:rPr>
        <w:t>：</w:t>
      </w:r>
      <w:r>
        <w:rPr>
          <w:rFonts w:ascii="Consolas" w:hAnsi="Consolas" w:eastAsia="Consolas"/>
          <w:sz w:val="18"/>
        </w:rPr>
        <w:t>03_内部材料/D_实验与证据追溯表.md</w:t>
      </w:r>
      <w:r>
        <w:rPr>
          <w:rFonts w:ascii="SimSun" w:hAnsi="SimSun" w:eastAsia="SimSun"/>
        </w:rPr>
        <w:t xml:space="preserve"> 是说明书"有益效果"每一处数字的唯一依据。</w:t>
      </w:r>
      <w:r>
        <w:rPr>
          <w:rFonts w:ascii="SimSun" w:hAnsi="SimSun" w:eastAsia="SimSun"/>
          <w:b/>
        </w:rPr>
        <w:t>答复审查意见时同样以该表为准。</w:t>
      </w:r>
    </w:p>
    <w:p>
      <w:pPr>
        <w:pStyle w:val="Heading2"/>
        <w:spacing w:before="200" w:after="80"/>
      </w:pPr>
      <w:r>
        <w:rPr>
          <w:rFonts w:ascii="SimHei" w:hAnsi="SimHei" w:eastAsia="SimHei"/>
          <w:color w:val="000000"/>
          <w:sz w:val="27"/>
        </w:rPr>
        <w:t>第七轮收口（本版相对上一版）</w:t>
      </w:r>
    </w:p>
    <w:p>
      <w:pPr>
        <w:spacing w:after="80"/>
        <w:jc w:val="both"/>
      </w:pPr>
      <w:r>
        <w:rPr>
          <w:rFonts w:ascii="SimSun" w:hAnsi="SimSun" w:eastAsia="SimSun"/>
        </w:rPr>
        <w:t>四项实质问题，其中两项以核对代码定稿：</w:t>
      </w:r>
    </w:p>
    <w:p>
      <w:pPr>
        <w:pStyle w:val="ListNumber"/>
        <w:ind w:left="360"/>
      </w:pPr>
      <w:r>
        <w:rPr>
          <w:rFonts w:ascii="SimSun" w:hAnsi="SimSun" w:eastAsia="SimSun"/>
          <w:b/>
        </w:rPr>
        <w:t>权 1 S7→S8 的条件分支错误</w:t>
      </w:r>
      <w:r>
        <w:rPr>
          <w:rFonts w:ascii="SimSun" w:hAnsi="SimSun" w:eastAsia="SimSun"/>
        </w:rPr>
        <w:t>：S7 以更新条件为前提，S8 却无条件要求并入体素——不满足条件时该体素并不存在。S8 已改为完整二分。</w:t>
      </w:r>
    </w:p>
    <w:p>
      <w:pPr>
        <w:pStyle w:val="ListNumber"/>
        <w:ind w:left="360"/>
      </w:pPr>
      <w:r>
        <w:rPr>
          <w:rFonts w:ascii="SimSun" w:hAnsi="SimSun" w:eastAsia="SimSun"/>
          <w:b/>
        </w:rPr>
        <w:t>图 1 落后于最终逻辑</w:t>
      </w:r>
      <w:r>
        <w:rPr>
          <w:rFonts w:ascii="SimSun" w:hAnsi="SimSun" w:eastAsia="SimSun"/>
        </w:rPr>
        <w:t>：原图仍是 S6→S7a→S7b，与"配准不可用则 S7a 不执行"相反。已重画为「是否启用 S7b」→「是否满足更新条件」→ 是走 S7a、否两者不变。</w:t>
      </w:r>
    </w:p>
    <w:p>
      <w:pPr>
        <w:pStyle w:val="ListNumber"/>
        <w:ind w:left="360"/>
      </w:pPr>
      <w:r>
        <w:rPr>
          <w:rFonts w:ascii="SimSun" w:hAnsi="SimSun" w:eastAsia="SimSun"/>
          <w:b/>
        </w:rPr>
        <w:t>S1 解释不足</w:t>
      </w:r>
      <w:r>
        <w:rPr>
          <w:rFonts w:ascii="SimSun" w:hAnsi="SimSun" w:eastAsia="SimSun"/>
        </w:rPr>
        <w:t>：缺口证据种类、点—分块关联、G_gap 与 G_task 的关系式此前均未定义，缺口阈值 τ_gap 在定稿中消失，导致 S8 的"仍存在缺口"无判据。已补齐五个子步骤，并以 S1(e) 统一 S3 目标筛选、S5 求和范围与 S8 循环条件。</w:t>
      </w:r>
    </w:p>
    <w:p>
      <w:pPr>
        <w:pStyle w:val="ListNumber"/>
        <w:ind w:left="360"/>
      </w:pPr>
      <w:r>
        <w:rPr>
          <w:rFonts w:ascii="SimSun" w:hAnsi="SimSun" w:eastAsia="SimSun"/>
          <w:b/>
        </w:rPr>
        <w:t>S3 候选生成的几何</w:t>
      </w:r>
      <w:r>
        <w:rPr>
          <w:rFonts w:ascii="SimSun" w:hAnsi="SimSun" w:eastAsia="SimSun"/>
        </w:rPr>
        <w:t>（核对代码后定稿）：候选位置 = 分块形心 + 距离档 × 方向，方向为法向经方位角/俯仰角偏置旋转。</w:t>
      </w:r>
      <w:r>
        <w:rPr>
          <w:rFonts w:ascii="SimSun" w:hAnsi="SimSun" w:eastAsia="SimSun"/>
          <w:b/>
        </w:rPr>
        <w:t>图 3 此前画成"沿分块整段外扩的壳"与代码不符，已按代码重画为"以形心为球心、限制在法向锥内的球面区段"。</w:t>
      </w:r>
    </w:p>
    <w:p>
      <w:pPr>
        <w:spacing w:after="80"/>
        <w:jc w:val="both"/>
      </w:pPr>
      <w:r>
        <w:rPr>
          <w:rFonts w:ascii="SimSun" w:hAnsi="SimSun" w:eastAsia="SimSun"/>
        </w:rPr>
        <w:t>另有十二项术语与图件问题一并清理，详见《最终交付检查表》第三节。</w:t>
      </w:r>
    </w:p>
    <w:p>
      <w:pPr>
        <w:pStyle w:val="Heading2"/>
        <w:spacing w:before="200" w:after="80"/>
      </w:pPr>
      <w:r>
        <w:rPr>
          <w:rFonts w:ascii="SimHei" w:hAnsi="SimHei" w:eastAsia="SimHei"/>
          <w:color w:val="000000"/>
          <w:sz w:val="27"/>
        </w:rPr>
        <w:t>第六轮逻辑修复</w:t>
      </w:r>
    </w:p>
    <w:p>
      <w:pPr>
        <w:spacing w:after="80"/>
        <w:jc w:val="both"/>
      </w:pPr>
      <w:r>
        <w:rPr>
          <w:rFonts w:ascii="SimSun" w:hAnsi="SimSun" w:eastAsia="SimSun"/>
        </w:rPr>
        <w:t>两处父子权矛盾与两项技术事实：</w:t>
      </w:r>
    </w:p>
    <w:p>
      <w:pPr>
        <w:pStyle w:val="ListNumber"/>
        <w:ind w:left="360"/>
      </w:pPr>
      <w:r>
        <w:rPr>
          <w:rFonts w:ascii="SimSun" w:hAnsi="SimSun" w:eastAsia="SimSun"/>
          <w:b/>
        </w:rPr>
        <w:t>权 1 S6 与权 2</w:t>
      </w:r>
      <w:r>
        <w:rPr>
          <w:rFonts w:ascii="SimSun" w:hAnsi="SimSun" w:eastAsia="SimSun"/>
        </w:rPr>
        <w:t>：权 1 曾限定"自待执行站位中确定"，权 2 却在无可达者时改自全部候选中选取。已把 S6 上位为"以待执行站位为</w:t>
      </w:r>
      <w:r>
        <w:rPr>
          <w:rFonts w:ascii="SimSun" w:hAnsi="SimSun" w:eastAsia="SimSun"/>
          <w:b/>
        </w:rPr>
        <w:t>优先选择集合</w:t>
      </w:r>
      <w:r>
        <w:rPr>
          <w:rFonts w:ascii="SimSun" w:hAnsi="SimSun" w:eastAsia="SimSun"/>
        </w:rPr>
        <w:t>，自满足剩余预算的候选中确定"，权 2 由此成为真正的下位限定。</w:t>
      </w:r>
    </w:p>
    <w:p>
      <w:pPr>
        <w:pStyle w:val="ListNumber"/>
        <w:ind w:left="360"/>
      </w:pPr>
      <w:r>
        <w:rPr>
          <w:rFonts w:ascii="SimSun" w:hAnsi="SimSun" w:eastAsia="SimSun"/>
          <w:b/>
        </w:rPr>
        <w:t>权 1 S8 与权 9</w:t>
      </w:r>
      <w:r>
        <w:rPr>
          <w:rFonts w:ascii="SimSun" w:hAnsi="SimSun" w:eastAsia="SimSun"/>
        </w:rPr>
        <w:t>：权 1 曾无条件要求"以新增点云更新缺口证据"，权 9 却规定不可用时不更新。已把 S7、S8 改为以"</w:t>
      </w:r>
      <w:r>
        <w:rPr>
          <w:rFonts w:ascii="SimSun" w:hAnsi="SimSun" w:eastAsia="SimSun"/>
          <w:b/>
        </w:rPr>
        <w:t>预设更新条件</w:t>
      </w:r>
      <w:r>
        <w:rPr>
          <w:rFonts w:ascii="SimSun" w:hAnsi="SimSun" w:eastAsia="SimSun"/>
        </w:rPr>
        <w:t>"为前提，权 9 具体化该条件。</w:t>
      </w:r>
    </w:p>
    <w:p>
      <w:pPr>
        <w:pStyle w:val="ListNumber"/>
        <w:ind w:left="360"/>
      </w:pPr>
      <w:r>
        <w:rPr>
          <w:rFonts w:ascii="SimSun" w:hAnsi="SimSun" w:eastAsia="SimSun"/>
          <w:b/>
        </w:rPr>
        <w:t>配准失败数据的使用范围</w:t>
      </w:r>
      <w:r>
        <w:rPr>
          <w:rFonts w:ascii="SimSun" w:hAnsi="SimSun" w:eastAsia="SimSun"/>
        </w:rPr>
        <w:t>（核对代码后定稿）：判定失败时该站点云不再用于任何回灌——</w:t>
      </w:r>
      <w:r>
        <w:rPr>
          <w:rFonts w:ascii="SimSun" w:hAnsi="SimSun" w:eastAsia="SimSun"/>
          <w:b/>
        </w:rPr>
        <w:t>规划用遮挡模型与缺口证据均保持不变</w:t>
      </w:r>
      <w:r>
        <w:rPr>
          <w:rFonts w:ascii="SimSun" w:hAnsi="SimSun" w:eastAsia="SimSun"/>
        </w:rPr>
        <w:t>。理由是该站数据无法可靠拼入设计模型所在的全局坐标系，其回波点的全局坐标同样不可信，而"离设计模型表面超过 ε"这一判据以两者同处一个坐标系为前提。</w:t>
      </w:r>
    </w:p>
    <w:p>
      <w:pPr>
        <w:pStyle w:val="ListNumber"/>
        <w:ind w:left="360"/>
      </w:pPr>
      <w:r>
        <w:rPr>
          <w:rFonts w:ascii="SimSun" w:hAnsi="SimSun" w:eastAsia="SimSun"/>
          <w:b/>
        </w:rPr>
        <w:t>预算口径</w:t>
      </w:r>
      <w:r>
        <w:rPr>
          <w:rFonts w:ascii="SimSun" w:hAnsi="SimSun" w:eastAsia="SimSun"/>
        </w:rPr>
        <w:t>（核对代码后定稿）：预算为</w:t>
      </w:r>
      <w:r>
        <w:rPr>
          <w:rFonts w:ascii="SimSun" w:hAnsi="SimSun" w:eastAsia="SimSun"/>
          <w:b/>
        </w:rPr>
        <w:t>纯可通行路径代价预算（单位：米）</w:t>
      </w:r>
      <w:r>
        <w:rPr>
          <w:rFonts w:ascii="SimSun" w:hAnsi="SimSun" w:eastAsia="SimSun"/>
        </w:rPr>
        <w:t>。单站作业耗时折算的等效路径代价只进入候选之间的成本比值，不构成预算。此前说明书把它写进预算，与"25 m 预算仍执行一站"的实验记录矛盾；现已全文统一。</w:t>
      </w:r>
    </w:p>
    <w:p>
      <w:pPr>
        <w:pStyle w:val="ListNumber"/>
        <w:ind w:left="360"/>
      </w:pPr>
      <w:r>
        <w:rPr>
          <w:rFonts w:ascii="SimSun" w:hAnsi="SimSun" w:eastAsia="SimSun"/>
        </w:rPr>
        <w:t>权 4 的边际收益改为与说明书的概率型子模函数一致；"二维半栅格"改为"二维栅格"。</w:t>
      </w:r>
    </w:p>
    <w:p>
      <w:pPr>
        <w:pStyle w:val="Heading2"/>
        <w:spacing w:before="200" w:after="80"/>
      </w:pPr>
      <w:r>
        <w:rPr>
          <w:rFonts w:ascii="SimHei" w:hAnsi="SimHei" w:eastAsia="SimHei"/>
          <w:color w:val="000000"/>
          <w:sz w:val="27"/>
        </w:rPr>
        <w:t>三条必须随件转达的事项</w:t>
      </w:r>
    </w:p>
    <w:p>
      <w:pPr>
        <w:pStyle w:val="Heading3"/>
        <w:spacing w:before="120" w:after="80"/>
      </w:pPr>
      <w:r>
        <w:rPr>
          <w:rFonts w:ascii="SimHei" w:hAnsi="SimHei" w:eastAsia="SimHei"/>
          <w:color w:val="000000"/>
          <w:sz w:val="24"/>
        </w:rPr>
        <w:t>1. 母专利的法律状态是权项布局的前置条件</w:t>
      </w:r>
    </w:p>
    <w:p>
      <w:pPr>
        <w:spacing w:after="80"/>
        <w:jc w:val="both"/>
      </w:pPr>
      <w:r>
        <w:rPr>
          <w:rFonts w:ascii="SimSun" w:hAnsi="SimSun" w:eastAsia="SimSun"/>
        </w:rPr>
        <w:t>须确认母专利的申请日、公开日、当前申请状态、能否主张优先权、是否构成本申请的现有技术或抵触申请。本稿按"作为独立的改进技术方案提交"撰写，未假设可以主张优先权，正文不依赖母专利的法律关系才能成立。</w:t>
      </w:r>
    </w:p>
    <w:p>
      <w:pPr>
        <w:pStyle w:val="Heading3"/>
        <w:spacing w:before="120" w:after="80"/>
      </w:pPr>
      <w:r>
        <w:rPr>
          <w:rFonts w:ascii="SimHei" w:hAnsi="SimHei" w:eastAsia="SimHei"/>
          <w:color w:val="000000"/>
          <w:sz w:val="24"/>
        </w:rPr>
        <w:t>2. 有两个结论不同的主张，不得互相改写</w:t>
      </w:r>
    </w:p>
    <w:p>
      <w:pPr>
        <w:spacing w:after="80"/>
        <w:jc w:val="both"/>
      </w:pPr>
      <w:r>
        <w:rPr>
          <w:rFonts w:ascii="SimSun" w:hAnsi="SimSun" w:eastAsia="SimSun"/>
        </w:rPr>
        <w:t>在线遮挡发现这一机制，在本项目的实验中被</w:t>
      </w:r>
      <w:r>
        <w:rPr>
          <w:rFonts w:ascii="SimSun" w:hAnsi="SimSun" w:eastAsia="SimSun"/>
          <w:b/>
        </w:rPr>
        <w:t>分别检验过两次</w:t>
      </w:r>
      <w:r>
        <w:rPr>
          <w:rFonts w:ascii="SimSun" w:hAnsi="SimSun" w:eastAsia="SimSun"/>
        </w:rPr>
        <w:t>，结论不同：</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主张</w:t>
            </w:r>
          </w:p>
        </w:tc>
        <w:tc>
          <w:tcPr>
            <w:tcW w:type="dxa" w:w="2880"/>
          </w:tcPr>
          <w:p>
            <w:pPr>
              <w:spacing w:before="20" w:after="20"/>
            </w:pPr>
            <w:r>
              <w:rPr>
                <w:rFonts w:ascii="SimSun" w:hAnsi="SimSun" w:eastAsia="SimSun"/>
                <w:b/>
                <w:sz w:val="17"/>
              </w:rPr>
              <w:t>结论</w:t>
            </w:r>
          </w:p>
        </w:tc>
        <w:tc>
          <w:tcPr>
            <w:tcW w:type="dxa" w:w="2880"/>
          </w:tcPr>
          <w:p>
            <w:pPr>
              <w:spacing w:before="20" w:after="20"/>
            </w:pPr>
            <w:r>
              <w:rPr>
                <w:rFonts w:ascii="SimSun" w:hAnsi="SimSun" w:eastAsia="SimSun"/>
                <w:b/>
                <w:sz w:val="17"/>
              </w:rPr>
              <w:t>证据</w:t>
            </w:r>
          </w:p>
        </w:tc>
      </w:tr>
      <w:tr>
        <w:tc>
          <w:tcPr>
            <w:tcW w:type="dxa" w:w="2880"/>
          </w:tcPr>
          <w:p>
            <w:pPr>
              <w:spacing w:before="20" w:after="20"/>
            </w:pPr>
            <w:r>
              <w:rPr>
                <w:rFonts w:ascii="SimSun" w:hAnsi="SimSun" w:eastAsia="SimSun"/>
                <w:sz w:val="17"/>
              </w:rPr>
              <w:t>降低可见性预测的平均绝对误差</w:t>
            </w:r>
          </w:p>
        </w:tc>
        <w:tc>
          <w:tcPr>
            <w:tcW w:type="dxa" w:w="2880"/>
          </w:tcPr>
          <w:p>
            <w:pPr>
              <w:spacing w:before="20" w:after="20"/>
            </w:pPr>
            <w:r>
              <w:rPr>
                <w:rFonts w:ascii="SimSun" w:hAnsi="SimSun" w:eastAsia="SimSun"/>
                <w:b/>
                <w:sz w:val="17"/>
              </w:rPr>
              <w:t>成立</w:t>
            </w:r>
            <w:r>
              <w:rPr>
                <w:rFonts w:ascii="SimSun" w:hAnsi="SimSun" w:eastAsia="SimSun"/>
                <w:sz w:val="17"/>
              </w:rPr>
              <w:t>，降低 2.7–8.7 倍</w:t>
            </w:r>
          </w:p>
        </w:tc>
        <w:tc>
          <w:tcPr>
            <w:tcW w:type="dxa" w:w="2880"/>
          </w:tcPr>
          <w:p>
            <w:pPr>
              <w:spacing w:before="20" w:after="20"/>
            </w:pPr>
            <w:r>
              <w:rPr>
                <w:rFonts w:ascii="SimSun" w:hAnsi="SimSun" w:eastAsia="SimSun"/>
                <w:sz w:val="17"/>
              </w:rPr>
              <w:t>3 个种子的专项测量</w:t>
            </w:r>
          </w:p>
        </w:tc>
      </w:tr>
      <w:tr>
        <w:tc>
          <w:tcPr>
            <w:tcW w:type="dxa" w:w="2880"/>
          </w:tcPr>
          <w:p>
            <w:pPr>
              <w:spacing w:before="20" w:after="20"/>
            </w:pPr>
            <w:r>
              <w:rPr>
                <w:rFonts w:ascii="SimSun" w:hAnsi="SimSun" w:eastAsia="SimSun"/>
                <w:sz w:val="17"/>
              </w:rPr>
              <w:t>提高最终扫描恢复率</w:t>
            </w:r>
          </w:p>
        </w:tc>
        <w:tc>
          <w:tcPr>
            <w:tcW w:type="dxa" w:w="2880"/>
          </w:tcPr>
          <w:p>
            <w:pPr>
              <w:spacing w:before="20" w:after="20"/>
            </w:pPr>
            <w:r>
              <w:rPr>
                <w:rFonts w:ascii="SimSun" w:hAnsi="SimSun" w:eastAsia="SimSun"/>
                <w:b/>
                <w:sz w:val="17"/>
              </w:rPr>
              <w:t>不成立</w:t>
            </w:r>
            <w:r>
              <w:rPr>
                <w:rFonts w:ascii="SimSun" w:hAnsi="SimSun" w:eastAsia="SimSun"/>
                <w:sz w:val="17"/>
              </w:rPr>
              <w:t>，未达统计显著</w:t>
            </w:r>
          </w:p>
        </w:tc>
        <w:tc>
          <w:tcPr>
            <w:tcW w:type="dxa" w:w="2880"/>
          </w:tcPr>
          <w:p>
            <w:pPr>
              <w:spacing w:before="20" w:after="20"/>
            </w:pPr>
            <w:r>
              <w:rPr>
                <w:rFonts w:ascii="SimSun" w:hAnsi="SimSun" w:eastAsia="SimSun"/>
                <w:sz w:val="17"/>
              </w:rPr>
              <w:t>60 次运行、15 组配对，p = 0.50</w:t>
            </w:r>
          </w:p>
        </w:tc>
      </w:tr>
    </w:tbl>
    <w:p/>
    <w:p>
      <w:pPr>
        <w:spacing w:after="80"/>
        <w:jc w:val="both"/>
      </w:pPr>
      <w:r>
        <w:rPr>
          <w:rFonts w:ascii="SimSun" w:hAnsi="SimSun" w:eastAsia="SimSun"/>
        </w:rPr>
        <w:t>说明书只主张前者。</w:t>
      </w:r>
      <w:r>
        <w:rPr>
          <w:rFonts w:ascii="SimSun" w:hAnsi="SimSun" w:eastAsia="SimSun"/>
          <w:b/>
        </w:rPr>
        <w:t>答复审查意见时不得把前者改写为后者。</w:t>
      </w:r>
    </w:p>
    <w:p>
      <w:pPr>
        <w:spacing w:after="80"/>
        <w:jc w:val="both"/>
      </w:pPr>
      <w:r>
        <w:rPr>
          <w:rFonts w:ascii="SimSun" w:hAnsi="SimSun" w:eastAsia="SimSun"/>
        </w:rPr>
        <w:t>同类的还有两处：配准支持评分项只写机理、不主张效果（权重置零后闭环结果逐位不变）；真实建筑实施例只主张可执行性、不主张优于他法（仅一栋建筑、一个种子）。</w:t>
      </w:r>
    </w:p>
    <w:p>
      <w:pPr>
        <w:pStyle w:val="Heading3"/>
        <w:spacing w:before="120" w:after="80"/>
      </w:pPr>
      <w:r>
        <w:rPr>
          <w:rFonts w:ascii="SimHei" w:hAnsi="SimHei" w:eastAsia="SimHei"/>
          <w:color w:val="000000"/>
          <w:sz w:val="24"/>
        </w:rPr>
        <w:t>3. 附图有两处极易画错</w:t>
      </w:r>
    </w:p>
    <w:p>
      <w:pPr>
        <w:spacing w:after="80"/>
        <w:jc w:val="both"/>
      </w:pPr>
      <w:r>
        <w:rPr>
          <w:rFonts w:ascii="SimSun" w:hAnsi="SimSun" w:eastAsia="SimSun"/>
        </w:rPr>
        <w:t>若按专利局要求改制黑白线条图，须向制图人员单独强调：</w:t>
      </w:r>
    </w:p>
    <w:p>
      <w:pPr>
        <w:pStyle w:val="ListBullet"/>
        <w:ind w:left="360"/>
      </w:pPr>
      <w:r>
        <w:rPr>
          <w:rFonts w:ascii="SimSun" w:hAnsi="SimSun" w:eastAsia="SimSun"/>
          <w:b/>
        </w:rPr>
        <w:t>图 3</w:t>
      </w:r>
      <w:r>
        <w:rPr>
          <w:rFonts w:ascii="SimSun" w:hAnsi="SimSun" w:eastAsia="SimSun"/>
        </w:rPr>
        <w:t>：距离层是"到目标表面分块的距离等于 d 的等距轨迹"，形状为沿分块</w:t>
      </w:r>
      <w:r>
        <w:rPr>
          <w:rFonts w:ascii="SimSun" w:hAnsi="SimSun" w:eastAsia="SimSun"/>
          <w:b/>
        </w:rPr>
        <w:t>整段</w:t>
      </w:r>
      <w:r>
        <w:rPr>
          <w:rFonts w:ascii="SimSun" w:hAnsi="SimSun" w:eastAsia="SimSun"/>
        </w:rPr>
        <w:t>外扩的壳带（正对区为平行直段，仅两端为圆弧过渡）。</w:t>
      </w:r>
      <w:r>
        <w:rPr>
          <w:rFonts w:ascii="SimSun" w:hAnsi="SimSun" w:eastAsia="SimSun"/>
          <w:b/>
        </w:rPr>
        <w:t>不得画成以分块形心为圆心的同心圆</w:t>
      </w:r>
      <w:r>
        <w:rPr>
          <w:rFonts w:ascii="SimSun" w:hAnsi="SimSun" w:eastAsia="SimSun"/>
        </w:rPr>
        <w:t>——那会给出错误的三维几何直觉。</w:t>
      </w:r>
    </w:p>
    <w:p>
      <w:pPr>
        <w:pStyle w:val="ListBullet"/>
        <w:ind w:left="360"/>
      </w:pPr>
      <w:r>
        <w:rPr>
          <w:rFonts w:ascii="SimSun" w:hAnsi="SimSun" w:eastAsia="SimSun"/>
          <w:b/>
        </w:rPr>
        <w:t>图 5</w:t>
      </w:r>
      <w:r>
        <w:rPr>
          <w:rFonts w:ascii="SimSun" w:hAnsi="SimSun" w:eastAsia="SimSun"/>
        </w:rPr>
        <w:t>：等代价边界是"沿可通行空间的最短路径代价等于剩余预算"的等值线，必须在墙体处被截断、穿过门洞后在另一侧形成凸出。</w:t>
      </w:r>
      <w:r>
        <w:rPr>
          <w:rFonts w:ascii="SimSun" w:hAnsi="SimSun" w:eastAsia="SimSun"/>
          <w:b/>
        </w:rPr>
        <w:t>不得画成以当前位姿为圆心的欧氏圆</w:t>
      </w:r>
      <w:r>
        <w:rPr>
          <w:rFonts w:ascii="SimSun" w:hAnsi="SimSun" w:eastAsia="SimSun"/>
        </w:rPr>
        <w:t>。本图现有版本由真实的最短路距离场计算得到，并以细虚线画出同代价欧氏圆作对照。</w:t>
      </w:r>
    </w:p>
    <w:p>
      <w:pPr>
        <w:pStyle w:val="Heading2"/>
        <w:spacing w:before="200" w:after="80"/>
      </w:pPr>
      <w:r>
        <w:rPr>
          <w:rFonts w:ascii="SimHei" w:hAnsi="SimHei" w:eastAsia="SimHei"/>
          <w:color w:val="000000"/>
          <w:sz w:val="27"/>
        </w:rPr>
        <w:t>本件与在先申请的关系</w:t>
      </w:r>
    </w:p>
    <w:p>
      <w:pPr>
        <w:spacing w:after="80"/>
        <w:jc w:val="both"/>
      </w:pPr>
      <w:r>
        <w:rPr>
          <w:rFonts w:ascii="SimSun" w:hAnsi="SimSun" w:eastAsia="SimSun"/>
        </w:rPr>
        <w:t>在先申请（母专利）的输入是模型与点云、输出是单个补充扫描视点，不涉及移动平台、可通行性、多站路线、预算，也不涉及在作业过程中修正遮挡模型本身。</w:t>
      </w:r>
    </w:p>
    <w:p>
      <w:pPr>
        <w:spacing w:after="80"/>
        <w:jc w:val="both"/>
      </w:pPr>
      <w:r>
        <w:rPr>
          <w:rFonts w:ascii="SimSun" w:hAnsi="SimSun" w:eastAsia="SimSun"/>
        </w:rPr>
        <w:t>本申请要解决的是另一组技术问题：现场存在设计模型中不存在的遮挡物导致可见性被系统性单向高估且该错误逐轮重复；以及多站路线在预算收紧时提前终止并输出零结果。</w:t>
      </w:r>
    </w:p>
    <w:p>
      <w:pPr>
        <w:spacing w:after="80"/>
        <w:jc w:val="both"/>
      </w:pPr>
      <w:r>
        <w:rPr>
          <w:rFonts w:ascii="SimSun" w:hAnsi="SimSun" w:eastAsia="SimSun"/>
        </w:rPr>
        <w:t>本申请中"视点价值如何算得更准"的部分在性质上是母专利相应步骤的下位具体化，实施本申请可能落入母专利保护范围。因属同一申请人，该情形影响实施许可安排而非本申请的授权，但须由代理人确认。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