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一种基于设计模型与在线遮挡发现的补充扫描规划方法及系统</w:t>
      </w:r>
    </w:p>
    <w:p>
      <w:pPr>
        <w:spacing w:after="80"/>
        <w:jc w:val="both"/>
      </w:pPr>
      <w:r>
        <w:rPr>
          <w:rFonts w:ascii="SimSun" w:hAnsi="SimSun" w:eastAsia="SimSun"/>
        </w:rPr>
        <w:t>本目录为送审材料。</w:t>
      </w:r>
    </w:p>
    <w:p>
      <w:pPr>
        <w:pStyle w:val="Heading2"/>
        <w:spacing w:before="200" w:after="80"/>
      </w:pPr>
      <w:r>
        <w:rPr>
          <w:rFonts w:ascii="SimHei" w:hAnsi="SimHei" w:eastAsia="SimHei"/>
          <w:color w:val="000000"/>
          <w:sz w:val="27"/>
        </w:rPr>
        <w:t>目录</w:t>
      </w:r>
    </w:p>
    <w:p>
      <w:pPr>
        <w:ind w:left="280"/>
      </w:pPr>
      <w:r>
        <w:rPr>
          <w:rFonts w:ascii="Consolas" w:hAnsi="Consolas" w:eastAsia="Consolas"/>
          <w:color w:val="333333"/>
          <w:sz w:val="17"/>
        </w:rPr>
        <w:t>01_申请文件/</w:t>
        <w:br/>
        <w:t xml:space="preserve">    权利要求书.（docx | md）      独立权 1 ＋ 从属权 2–10 ＋ 系统权 11 ＋ 介质权 12</w:t>
        <w:br/>
        <w:t xml:space="preserve">    说明书.（docx | md）          技术领域 / 背景技术 / 技术问题 / 技术方案 /</w:t>
        <w:br/>
        <w:t xml:space="preserve">                                 有益效果 / 附图说明 / 具体实施方式 /</w:t>
        <w:br/>
        <w:t xml:space="preserve">                                 公式与符号 / 边界情况 / 可选实施方式 / 两个实施例</w:t>
        <w:br/>
        <w:br/>
        <w:t>02_附图/</w:t>
        <w:br/>
        <w:t xml:space="preserve">    附图.docx                     六幅图内嵌一份，便于随件送审</w:t>
        <w:br/>
        <w:t xml:space="preserve">    图1_总体流程.（svg | png）</w:t>
        <w:br/>
        <w:t xml:space="preserve">    图2_可通行空间.（svg | png）</w:t>
        <w:br/>
        <w:t xml:space="preserve">    图3_候选站位与距离层.（svg | png）</w:t>
        <w:br/>
        <w:t xml:space="preserve">    图4_在线遮挡发现.（svg | png）</w:t>
        <w:br/>
        <w:t xml:space="preserve">    图5_等代价边界.（svg | png）</w:t>
        <w:br/>
        <w:t xml:space="preserve">    图6_目标分块选取.（svg | png）</w:t>
        <w:br/>
        <w:t xml:space="preserve">    附图绘制说明.（docx | md）    改制正式申请稿附图时对照</w:t>
        <w:br/>
        <w:br/>
        <w:t>03_补充材料/</w:t>
        <w:br/>
        <w:t xml:space="preserve">    待确认事项.（docx | md）      须由代理人结合检索结果与法律状态决定的事项</w:t>
        <w:br/>
        <w:t xml:space="preserve">    实验与证据说明.（docx | md）  有益效果每一处数字的来源与表述边界</w:t>
        <w:br/>
        <w:t xml:space="preserve">    实验记录/                     上表所引结果的原始汇总</w:t>
      </w:r>
    </w:p>
    <w:p>
      <w:pPr>
        <w:pStyle w:val="Heading2"/>
        <w:spacing w:before="200" w:after="80"/>
      </w:pPr>
      <w:r>
        <w:rPr>
          <w:rFonts w:ascii="SimHei" w:hAnsi="SimHei" w:eastAsia="SimHei"/>
          <w:color w:val="000000"/>
          <w:sz w:val="27"/>
        </w:rPr>
        <w:t>本发明要解决的问题</w:t>
      </w:r>
    </w:p>
    <w:p>
      <w:pPr>
        <w:spacing w:after="80"/>
        <w:jc w:val="both"/>
      </w:pPr>
      <w:r>
        <w:rPr>
          <w:rFonts w:ascii="SimSun" w:hAnsi="SimSun" w:eastAsia="SimSun"/>
        </w:rPr>
        <w:t>竣工测量现场普遍存在设计模型中不存在的物体——施工车辆、材料堆放、脚手架、临时围挡等。它们会遮挡扫描仪，却不会遮挡基于设计模型的可见性计算，于是可见性被</w:t>
      </w:r>
      <w:r>
        <w:rPr>
          <w:rFonts w:ascii="SimSun" w:hAnsi="SimSun" w:eastAsia="SimSun"/>
          <w:b/>
        </w:rPr>
        <w:t>系统性单向高估</w:t>
      </w:r>
      <w:r>
        <w:rPr>
          <w:rFonts w:ascii="SimSun" w:hAnsi="SimSun" w:eastAsia="SimSun"/>
        </w:rPr>
        <w:t>：规划出的站位到现场被遮挡，该站的架设与作业时间白白付出；而由于遮挡模型不被修正，</w:t>
      </w:r>
      <w:r>
        <w:rPr>
          <w:rFonts w:ascii="SimSun" w:hAnsi="SimSun" w:eastAsia="SimSun"/>
          <w:b/>
        </w:rPr>
        <w:t>同一预测错误在后续每一轮重复发生</w:t>
      </w:r>
      <w:r>
        <w:rPr>
          <w:rFonts w:ascii="SimSun" w:hAnsi="SimSun" w:eastAsia="SimSun"/>
        </w:rPr>
        <w:t>——已经用一站的代价"测到"了那个障碍物，这一信息却没有被用于改进后续规划。</w:t>
      </w:r>
    </w:p>
    <w:p>
      <w:pPr>
        <w:spacing w:after="80"/>
        <w:jc w:val="both"/>
      </w:pPr>
      <w:r>
        <w:rPr>
          <w:rFonts w:ascii="SimSun" w:hAnsi="SimSun" w:eastAsia="SimSun"/>
        </w:rPr>
        <w:t>本发明在补充扫描的每一轮执行后，从新采集的点云中识别出"已测到但设计模型中不存在的表面"，将其并入</w:t>
      </w:r>
      <w:r>
        <w:rPr>
          <w:rFonts w:ascii="SimSun" w:hAnsi="SimSun" w:eastAsia="SimSun"/>
          <w:b/>
        </w:rPr>
        <w:t>规划用遮挡模型</w:t>
      </w:r>
      <w:r>
        <w:rPr>
          <w:rFonts w:ascii="SimSun" w:hAnsi="SimSun" w:eastAsia="SimSun"/>
        </w:rPr>
        <w:t>（但不作为新的待扫描目标），使后续视点的可见性计算不再重复同一错误；同时在移动平台可通行约束与剩余移动路径预算之下组织多站补充扫描，并在预选站位均不可达时退而在预算内可达的候选中择优，避免任务在仍有可达候选时提前终止。</w:t>
      </w:r>
    </w:p>
    <w:p>
      <w:pPr>
        <w:pStyle w:val="Heading2"/>
        <w:spacing w:before="200" w:after="80"/>
      </w:pPr>
      <w:r>
        <w:rPr>
          <w:rFonts w:ascii="SimHei" w:hAnsi="SimHei" w:eastAsia="SimHei"/>
          <w:color w:val="000000"/>
          <w:sz w:val="27"/>
        </w:rPr>
        <w:t>三点须一并注意</w:t>
      </w:r>
    </w:p>
    <w:p>
      <w:pPr>
        <w:pStyle w:val="Heading3"/>
        <w:spacing w:before="120" w:after="80"/>
      </w:pPr>
      <w:r>
        <w:rPr>
          <w:rFonts w:ascii="SimHei" w:hAnsi="SimHei" w:eastAsia="SimHei"/>
          <w:color w:val="000000"/>
          <w:sz w:val="24"/>
        </w:rPr>
        <w:t>1. 母专利的法律状态是权项布局的前置条件</w:t>
      </w:r>
    </w:p>
    <w:p>
      <w:pPr>
        <w:spacing w:after="80"/>
        <w:jc w:val="both"/>
      </w:pPr>
      <w:r>
        <w:rPr>
          <w:rFonts w:ascii="SimSun" w:hAnsi="SimSun" w:eastAsia="SimSun"/>
        </w:rPr>
        <w:t>须先确认在先申请的申请日、公开日、当前申请状态、能否主张优先权、是否构成本申请的现有技术或抵触申请。本稿按"作为独立的改进技术方案提交"撰写：未假设可以主张优先权，未就在先申请是否已公开作任何法律结论，正文亦不依赖在先申请的法律关系才能成立。</w:t>
      </w:r>
    </w:p>
    <w:p>
      <w:pPr>
        <w:spacing w:after="80"/>
        <w:jc w:val="both"/>
      </w:pPr>
      <w:r>
        <w:rPr>
          <w:rFonts w:ascii="SimSun" w:hAnsi="SimSun" w:eastAsia="SimSun"/>
        </w:rPr>
        <w:t>详见《待确认事项》第 6、7 项。</w:t>
      </w:r>
    </w:p>
    <w:p>
      <w:pPr>
        <w:pStyle w:val="Heading3"/>
        <w:spacing w:before="120" w:after="80"/>
      </w:pPr>
      <w:r>
        <w:rPr>
          <w:rFonts w:ascii="SimHei" w:hAnsi="SimHei" w:eastAsia="SimHei"/>
          <w:color w:val="000000"/>
          <w:sz w:val="24"/>
        </w:rPr>
        <w:t>2. 有两个结论不同的主张，不得互相改写</w:t>
      </w:r>
    </w:p>
    <w:p>
      <w:pPr>
        <w:spacing w:after="80"/>
        <w:jc w:val="both"/>
      </w:pPr>
      <w:r>
        <w:rPr>
          <w:rFonts w:ascii="SimSun" w:hAnsi="SimSun" w:eastAsia="SimSun"/>
        </w:rPr>
        <w:t>在线遮挡发现这一机制在本项目的实验中被</w:t>
      </w:r>
      <w:r>
        <w:rPr>
          <w:rFonts w:ascii="SimSun" w:hAnsi="SimSun" w:eastAsia="SimSun"/>
          <w:b/>
        </w:rPr>
        <w:t>分别检验过两次</w:t>
      </w:r>
      <w:r>
        <w:rPr>
          <w:rFonts w:ascii="SimSun" w:hAnsi="SimSun" w:eastAsia="SimSun"/>
        </w:rPr>
        <w:t>，结论不同：</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主张</w:t>
            </w:r>
          </w:p>
        </w:tc>
        <w:tc>
          <w:tcPr>
            <w:tcW w:type="dxa" w:w="2880"/>
          </w:tcPr>
          <w:p>
            <w:pPr>
              <w:spacing w:before="20" w:after="20"/>
            </w:pPr>
            <w:r>
              <w:rPr>
                <w:rFonts w:ascii="SimSun" w:hAnsi="SimSun" w:eastAsia="SimSun"/>
                <w:b/>
                <w:sz w:val="17"/>
              </w:rPr>
              <w:t>结论</w:t>
            </w:r>
          </w:p>
        </w:tc>
        <w:tc>
          <w:tcPr>
            <w:tcW w:type="dxa" w:w="2880"/>
          </w:tcPr>
          <w:p>
            <w:pPr>
              <w:spacing w:before="20" w:after="20"/>
            </w:pPr>
            <w:r>
              <w:rPr>
                <w:rFonts w:ascii="SimSun" w:hAnsi="SimSun" w:eastAsia="SimSun"/>
                <w:b/>
                <w:sz w:val="17"/>
              </w:rPr>
              <w:t>依据</w:t>
            </w:r>
          </w:p>
        </w:tc>
      </w:tr>
      <w:tr>
        <w:tc>
          <w:tcPr>
            <w:tcW w:type="dxa" w:w="2880"/>
          </w:tcPr>
          <w:p>
            <w:pPr>
              <w:spacing w:before="20" w:after="20"/>
            </w:pPr>
            <w:r>
              <w:rPr>
                <w:rFonts w:ascii="SimSun" w:hAnsi="SimSun" w:eastAsia="SimSun"/>
                <w:sz w:val="17"/>
              </w:rPr>
              <w:t>降低可见性预测的平均绝对误差</w:t>
            </w:r>
          </w:p>
        </w:tc>
        <w:tc>
          <w:tcPr>
            <w:tcW w:type="dxa" w:w="2880"/>
          </w:tcPr>
          <w:p>
            <w:pPr>
              <w:spacing w:before="20" w:after="20"/>
            </w:pPr>
            <w:r>
              <w:rPr>
                <w:rFonts w:ascii="SimSun" w:hAnsi="SimSun" w:eastAsia="SimSun"/>
                <w:b/>
                <w:sz w:val="17"/>
              </w:rPr>
              <w:t>成立</w:t>
            </w:r>
            <w:r>
              <w:rPr>
                <w:rFonts w:ascii="SimSun" w:hAnsi="SimSun" w:eastAsia="SimSun"/>
                <w:sz w:val="17"/>
              </w:rPr>
              <w:t>，降低 2.7–8.7 倍</w:t>
            </w:r>
          </w:p>
        </w:tc>
        <w:tc>
          <w:tcPr>
            <w:tcW w:type="dxa" w:w="2880"/>
          </w:tcPr>
          <w:p>
            <w:pPr>
              <w:spacing w:before="20" w:after="20"/>
            </w:pPr>
            <w:r>
              <w:rPr>
                <w:rFonts w:ascii="SimSun" w:hAnsi="SimSun" w:eastAsia="SimSun"/>
                <w:sz w:val="17"/>
              </w:rPr>
              <w:t>3 个种子的专项测量</w:t>
            </w:r>
          </w:p>
        </w:tc>
      </w:tr>
      <w:tr>
        <w:tc>
          <w:tcPr>
            <w:tcW w:type="dxa" w:w="2880"/>
          </w:tcPr>
          <w:p>
            <w:pPr>
              <w:spacing w:before="20" w:after="20"/>
            </w:pPr>
            <w:r>
              <w:rPr>
                <w:rFonts w:ascii="SimSun" w:hAnsi="SimSun" w:eastAsia="SimSun"/>
                <w:sz w:val="17"/>
              </w:rPr>
              <w:t>提高最终扫描恢复率</w:t>
            </w:r>
          </w:p>
        </w:tc>
        <w:tc>
          <w:tcPr>
            <w:tcW w:type="dxa" w:w="2880"/>
          </w:tcPr>
          <w:p>
            <w:pPr>
              <w:spacing w:before="20" w:after="20"/>
            </w:pPr>
            <w:r>
              <w:rPr>
                <w:rFonts w:ascii="SimSun" w:hAnsi="SimSun" w:eastAsia="SimSun"/>
                <w:b/>
                <w:sz w:val="17"/>
              </w:rPr>
              <w:t>不成立</w:t>
            </w:r>
            <w:r>
              <w:rPr>
                <w:rFonts w:ascii="SimSun" w:hAnsi="SimSun" w:eastAsia="SimSun"/>
                <w:sz w:val="17"/>
              </w:rPr>
              <w:t>，未达统计显著</w:t>
            </w:r>
          </w:p>
        </w:tc>
        <w:tc>
          <w:tcPr>
            <w:tcW w:type="dxa" w:w="2880"/>
          </w:tcPr>
          <w:p>
            <w:pPr>
              <w:spacing w:before="20" w:after="20"/>
            </w:pPr>
            <w:r>
              <w:rPr>
                <w:rFonts w:ascii="SimSun" w:hAnsi="SimSun" w:eastAsia="SimSun"/>
                <w:sz w:val="17"/>
              </w:rPr>
              <w:t>60 次运行、15 组配对，p = 0.50</w:t>
            </w:r>
          </w:p>
        </w:tc>
      </w:tr>
    </w:tbl>
    <w:p/>
    <w:p>
      <w:pPr>
        <w:spacing w:after="80"/>
        <w:jc w:val="both"/>
      </w:pPr>
      <w:r>
        <w:rPr>
          <w:rFonts w:ascii="SimSun" w:hAnsi="SimSun" w:eastAsia="SimSun"/>
        </w:rPr>
        <w:t>说明书只主张前者。</w:t>
      </w:r>
      <w:r>
        <w:rPr>
          <w:rFonts w:ascii="SimSun" w:hAnsi="SimSun" w:eastAsia="SimSun"/>
          <w:b/>
        </w:rPr>
        <w:t>答复审查意见时不得把前者改写为后者。</w:t>
      </w:r>
    </w:p>
    <w:p>
      <w:pPr>
        <w:spacing w:after="80"/>
        <w:jc w:val="both"/>
      </w:pPr>
      <w:r>
        <w:rPr>
          <w:rFonts w:ascii="SimSun" w:hAnsi="SimSun" w:eastAsia="SimSun"/>
        </w:rPr>
        <w:t>同类的还有两处：候选价值中的配准支持项只写机理、不主张效果（该项权重置零后闭环结果逐位不变）；真实建筑实施例只主张流程可执行，不主张优于其他方法（仅一栋建筑、一个主要种子）。</w:t>
      </w:r>
    </w:p>
    <w:p>
      <w:pPr>
        <w:spacing w:after="80"/>
        <w:jc w:val="both"/>
      </w:pPr>
      <w:r>
        <w:rPr>
          <w:rFonts w:ascii="SimSun" w:hAnsi="SimSun" w:eastAsia="SimSun"/>
        </w:rPr>
        <w:t>完整的表述边界见《实验与证据说明》，其中每条主张均列出"可以支持的表述"与"明确禁止的表述"。</w:t>
      </w:r>
    </w:p>
    <w:p>
      <w:pPr>
        <w:pStyle w:val="Heading3"/>
        <w:spacing w:before="120" w:after="80"/>
      </w:pPr>
      <w:r>
        <w:rPr>
          <w:rFonts w:ascii="SimHei" w:hAnsi="SimHei" w:eastAsia="SimHei"/>
          <w:color w:val="000000"/>
          <w:sz w:val="24"/>
        </w:rPr>
        <w:t>3. 附图有四处极易画错</w:t>
      </w:r>
    </w:p>
    <w:p>
      <w:pPr>
        <w:spacing w:after="80"/>
        <w:jc w:val="both"/>
      </w:pPr>
      <w:r>
        <w:rPr>
          <w:rFonts w:ascii="SimSun" w:hAnsi="SimSun" w:eastAsia="SimSun"/>
        </w:rPr>
        <w:t>若按专利局要求改制黑白线条图，须向制图人员单独强调（详见《附图绘制说明》）：</w:t>
      </w:r>
    </w:p>
    <w:p>
      <w:pPr>
        <w:pStyle w:val="ListBullet"/>
        <w:ind w:left="360"/>
      </w:pPr>
      <w:r>
        <w:rPr>
          <w:rFonts w:ascii="SimSun" w:hAnsi="SimSun" w:eastAsia="SimSun"/>
          <w:b/>
        </w:rPr>
        <w:t>图 1</w:t>
      </w:r>
      <w:r>
        <w:rPr>
          <w:rFonts w:ascii="SimSun" w:hAnsi="SimSun" w:eastAsia="SimSun"/>
        </w:rPr>
        <w:t>：配准可用性判定必须画在在线遮挡发现</w:t>
      </w:r>
      <w:r>
        <w:rPr>
          <w:rFonts w:ascii="SimSun" w:hAnsi="SimSun" w:eastAsia="SimSun"/>
          <w:b/>
        </w:rPr>
        <w:t>之前</w:t>
      </w:r>
      <w:r>
        <w:rPr>
          <w:rFonts w:ascii="SimSun" w:hAnsi="SimSun" w:eastAsia="SimSun"/>
        </w:rPr>
        <w:t>——配准不可用时该站点云的全局坐标不可信，无法据以判定其是否偏离设计模型，故在线遮挡发现整体不执行。两条回灌不得合并：遮挡模型回 S4，缺口状态与预算回 S3。</w:t>
      </w:r>
    </w:p>
    <w:p>
      <w:pPr>
        <w:pStyle w:val="ListBullet"/>
        <w:ind w:left="360"/>
      </w:pPr>
      <w:r>
        <w:rPr>
          <w:rFonts w:ascii="SimSun" w:hAnsi="SimSun" w:eastAsia="SimSun"/>
          <w:b/>
        </w:rPr>
        <w:t>图 3</w:t>
      </w:r>
      <w:r>
        <w:rPr>
          <w:rFonts w:ascii="SimSun" w:hAnsi="SimSun" w:eastAsia="SimSun"/>
        </w:rPr>
        <w:t>：候选位置由"分块形心 + 距离档 × 方向"确定，方向为该分块法向经方位角与俯仰角偏置旋转所得。因此距离层是</w:t>
      </w:r>
      <w:r>
        <w:rPr>
          <w:rFonts w:ascii="SimSun" w:hAnsi="SimSun" w:eastAsia="SimSun"/>
          <w:b/>
        </w:rPr>
        <w:t>以分块形心为球心、限制在法向锥内的球面区段</w:t>
      </w:r>
      <w:r>
        <w:rPr>
          <w:rFonts w:ascii="SimSun" w:hAnsi="SimSun" w:eastAsia="SimSun"/>
        </w:rPr>
        <w:t>。不得画成沿分块整段外扩的壳带，也不得画成完整同心圆。</w:t>
      </w:r>
    </w:p>
    <w:p>
      <w:pPr>
        <w:pStyle w:val="ListBullet"/>
        <w:ind w:left="360"/>
      </w:pPr>
      <w:r>
        <w:rPr>
          <w:rFonts w:ascii="SimSun" w:hAnsi="SimSun" w:eastAsia="SimSun"/>
          <w:b/>
        </w:rPr>
        <w:t>图 5</w:t>
      </w:r>
      <w:r>
        <w:rPr>
          <w:rFonts w:ascii="SimSun" w:hAnsi="SimSun" w:eastAsia="SimSun"/>
        </w:rPr>
        <w:t>：等代价边界是"自当前位置沿可通行空间的最短路径代价等于剩余预算"的等值线，必须在墙体处被截断、穿过门洞后在另一侧形成凸出。</w:t>
      </w:r>
      <w:r>
        <w:rPr>
          <w:rFonts w:ascii="SimSun" w:hAnsi="SimSun" w:eastAsia="SimSun"/>
          <w:b/>
        </w:rPr>
        <w:t>不得画成欧氏圆。</w:t>
      </w:r>
    </w:p>
    <w:p>
      <w:pPr>
        <w:pStyle w:val="ListBullet"/>
        <w:ind w:left="360"/>
      </w:pPr>
      <w:r>
        <w:rPr>
          <w:rFonts w:ascii="SimSun" w:hAnsi="SimSun" w:eastAsia="SimSun"/>
          <w:b/>
        </w:rPr>
        <w:t>图 6</w:t>
      </w:r>
      <w:r>
        <w:rPr>
          <w:rFonts w:ascii="SimSun" w:hAnsi="SimSun" w:eastAsia="SimSun"/>
        </w:rPr>
        <w:t>：标签须带"在容量上限未触发时"，不得作绝对表述。</w:t>
      </w:r>
    </w:p>
    <w:p>
      <w:pPr>
        <w:pStyle w:val="Heading2"/>
        <w:spacing w:before="200" w:after="80"/>
      </w:pPr>
      <w:r>
        <w:rPr>
          <w:rFonts w:ascii="SimHei" w:hAnsi="SimHei" w:eastAsia="SimHei"/>
          <w:color w:val="000000"/>
          <w:sz w:val="27"/>
        </w:rPr>
        <w:t>与在先申请的关系</w:t>
      </w:r>
    </w:p>
    <w:p>
      <w:pPr>
        <w:spacing w:after="80"/>
        <w:jc w:val="both"/>
      </w:pPr>
      <w:r>
        <w:rPr>
          <w:rFonts w:ascii="SimSun" w:hAnsi="SimSun" w:eastAsia="SimSun"/>
        </w:rPr>
        <w:t>在先申请的输入是模型与点云、输出是单个补充扫描视点，不涉及移动平台、可通行性、多站组织、预算，也不涉及在作业过程中修正遮挡模型本身；其所解决的技术问题是"缺口在哪里"。</w:t>
      </w:r>
    </w:p>
    <w:p>
      <w:pPr>
        <w:spacing w:after="80"/>
        <w:jc w:val="both"/>
      </w:pPr>
      <w:r>
        <w:rPr>
          <w:rFonts w:ascii="SimSun" w:hAnsi="SimSun" w:eastAsia="SimSun"/>
        </w:rPr>
        <w:t>本申请所解决的是另一组问题：现场存在设计模型中不存在的遮挡物导致可见性被系统性单向高估且该错误逐轮重复；以及多站补充扫描在剩余预算收紧时提前终止并输出零结果。</w:t>
      </w:r>
    </w:p>
    <w:p>
      <w:pPr>
        <w:spacing w:after="80"/>
        <w:jc w:val="both"/>
      </w:pPr>
      <w:r>
        <w:rPr>
          <w:rFonts w:ascii="SimSun" w:hAnsi="SimSun" w:eastAsia="SimSun"/>
        </w:rPr>
        <w:t>本申请中"视点价值如何计算得更准"的部分（射线求交遮挡计算、点密度模型）在性质上是在先申请相应步骤的下位具体化，实施本申请可能落入在先申请的保护范围。因属同一申请人，该情形影响实施许可安排而非本申请的授权，但须由代理人确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