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附图绘制说明</w:t>
      </w:r>
    </w:p>
    <w:p>
      <w:pPr>
        <w:spacing w:after="80"/>
        <w:jc w:val="both"/>
      </w:pPr>
      <w:r>
        <w:rPr>
          <w:rFonts w:ascii="SimSun" w:hAnsi="SimSun" w:eastAsia="SimSun"/>
        </w:rPr>
        <w:t>配套图件位于本目录，每幅同时提供矢量（</w:t>
      </w:r>
      <w:r>
        <w:rPr>
          <w:rFonts w:ascii="Consolas" w:hAnsi="Consolas" w:eastAsia="Consolas"/>
          <w:sz w:val="18"/>
        </w:rPr>
        <w:t>.svg</w:t>
      </w:r>
      <w:r>
        <w:rPr>
          <w:rFonts w:ascii="SimSun" w:hAnsi="SimSun" w:eastAsia="SimSun"/>
        </w:rPr>
        <w:t>，供正式申请稿排版）与位图（</w:t>
      </w:r>
      <w:r>
        <w:rPr>
          <w:rFonts w:ascii="Consolas" w:hAnsi="Consolas" w:eastAsia="Consolas"/>
          <w:sz w:val="18"/>
        </w:rPr>
        <w:t>.png</w:t>
      </w:r>
      <w:r>
        <w:rPr>
          <w:rFonts w:ascii="SimSun" w:hAnsi="SimSun" w:eastAsia="SimSun"/>
        </w:rPr>
        <w:t xml:space="preserve">，供审阅），另有 </w:t>
      </w:r>
      <w:r>
        <w:rPr>
          <w:rFonts w:ascii="Consolas" w:hAnsi="Consolas" w:eastAsia="Consolas"/>
          <w:sz w:val="18"/>
        </w:rPr>
        <w:t>附图.docx</w:t>
      </w:r>
      <w:r>
        <w:rPr>
          <w:rFonts w:ascii="SimSun" w:hAnsi="SimSun" w:eastAsia="SimSun"/>
        </w:rPr>
        <w:t xml:space="preserve"> 内嵌全部六幅。</w:t>
      </w:r>
    </w:p>
    <w:p>
      <w:pPr>
        <w:spacing w:after="80"/>
        <w:jc w:val="both"/>
      </w:pPr>
      <w:r>
        <w:rPr>
          <w:rFonts w:ascii="SimSun" w:hAnsi="SimSun" w:eastAsia="SimSun"/>
        </w:rPr>
        <w:t>本说明用于改制正式申请稿附图时对照，每幅列出必须出现的对象、箭头方向、线型与阴影含义、关键标签，以及最容易画错之处。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总体要求</w:t>
      </w:r>
      <w:r>
        <w:rPr>
          <w:rFonts w:ascii="SimSun" w:hAnsi="SimSun" w:eastAsia="SimSun"/>
        </w:rPr>
        <w:t>：不阅读正文、只看图与图例，应基本知道图表达的关系。图中不出现任何代码路径、提交标识或数值实验结果。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1　总体流程图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总体流程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处理框 S1、S2、S3、S4、S5、S6、S7b、S7a、S8；两个判定菱形（"是否启用配准可用性判定 S7b？"与"新增点云满足预设更新条件？"）；"缺省：视为满足更新条件"框；"遮挡模型与缺口证据均保持不变；记录失败站位"框；"扣减本轮已发生的可通行路径代价"框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主链自上而下 S1→S2→S3→S4→S5→S6；S6 指向第一个菱形；该菱形"否"分支左行至"缺省：视为满足更新条件"、"是"分支右行至 S7b；两者汇入第二个菱形；第二个菱形"是"分支向下至 S7a 再至 S8；"否"分支右行绕过 S7a 与 S8 进入"两者保持不变"框；两条支路汇入"扣减路径代价"框。</w:t>
            </w:r>
            <w:r>
              <w:rPr>
                <w:rFonts w:ascii="SimSun" w:hAnsi="SimSun" w:eastAsia="SimSun"/>
                <w:b/>
                <w:sz w:val="17"/>
              </w:rPr>
              <w:t>回灌为两条虚线，不得合并</w:t>
            </w:r>
            <w:r>
              <w:rPr>
                <w:rFonts w:ascii="SimSun" w:hAnsi="SimSun" w:eastAsia="SimSun"/>
                <w:sz w:val="17"/>
              </w:rPr>
              <w:t>：左侧自"扣减路径代价"框回到 S3；右侧自 S8 回到 S4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矩形＝处理步骤；菱形＝判定；实线箭头＝本轮数据流；虚线箭头＝跨轮回灌。全部白底黑框，不使用填充色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各处理框左端标步骤号；两个菱形的判定文字；两条分支各标"是"／"否"；</w:t>
            </w:r>
            <w:r>
              <w:rPr>
                <w:rFonts w:ascii="SimSun" w:hAnsi="SimSun" w:eastAsia="SimSun"/>
                <w:b/>
                <w:sz w:val="17"/>
              </w:rPr>
              <w:t>左侧虚线旁标"缺口状态、失败站位、剩余预算 → S3"，右侧虚线旁标"更新后的规划用遮挡模型 → S4"</w:t>
            </w:r>
            <w:r>
              <w:rPr>
                <w:rFonts w:ascii="SimSun" w:hAnsi="SimSun" w:eastAsia="SimSun"/>
                <w:sz w:val="17"/>
              </w:rPr>
              <w:t>；图下方标图例与一条注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"S7b 判定在 S7a 之前——配准不可用时该站点云的全局坐标不可信，无法据以判定其是否偏离设计模型，故 S7a 整体不执行。"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★ </w:t>
            </w:r>
            <w:r>
              <w:rPr>
                <w:rFonts w:ascii="SimSun" w:hAnsi="SimSun" w:eastAsia="SimSun"/>
                <w:b/>
                <w:sz w:val="17"/>
              </w:rPr>
              <w:t>顺序</w:t>
            </w:r>
            <w:r>
              <w:rPr>
                <w:rFonts w:ascii="SimSun" w:hAnsi="SimSun" w:eastAsia="SimSun"/>
                <w:sz w:val="17"/>
              </w:rPr>
              <w:t>。不得画成 S6→S7a→S7b→S8。配准可用性判定必须在在线遮挡发现之前——判定不通过时 S7a 根本不执行，遮挡模型与缺口证据均不更新。若按旧顺序画，读者会得到"失败站点云已被用于发现遮挡物、随后又说它不可用"的矛盾印象。其次：</w:t>
            </w:r>
            <w:r>
              <w:rPr>
                <w:rFonts w:ascii="SimSun" w:hAnsi="SimSun" w:eastAsia="SimSun"/>
                <w:b/>
                <w:sz w:val="17"/>
              </w:rPr>
              <w:t>两条回灌必须分开画且落到不同目标步骤</w:t>
            </w:r>
            <w:r>
              <w:rPr>
                <w:rFonts w:ascii="SimSun" w:hAnsi="SimSun" w:eastAsia="SimSun"/>
                <w:sz w:val="17"/>
              </w:rPr>
              <w:t>——遮挡模型回到 S4（这是本方法的核心回路：发现遮挡→修改模型→影响下一轮可见性评估），缺口状态与预算回到 S3。合并成一条会掩盖前者。再次："扣减路径代价"位于两条支路汇合之后（失败站的路径代价照样扣减）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2　可通行空间构建示意图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可通行空间构建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四类构件各一例：构件 A 普通障碍；构件 B 带电构件；构件 C 顶面不大于跨越高度；构件 D 底面净空大于平台高度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构件 D 处一条双向箭头，标注其底面净空与平台高度的比较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实心填充＝障碍栅格；斜线阴影＝带电构件按对地安全距离追加标记的禁入栅格；点线外框＝对已标记栅格（障碍与禁入）按平台半径的膨胀；细实线框＝未标记为障碍的构件（其外</w:t>
            </w:r>
            <w:r>
              <w:rPr>
                <w:rFonts w:ascii="SimSun" w:hAnsi="SimSun" w:eastAsia="SimSun"/>
                <w:b/>
                <w:sz w:val="17"/>
              </w:rPr>
              <w:t>不画</w:t>
            </w:r>
            <w:r>
              <w:rPr>
                <w:rFonts w:ascii="SimSun" w:hAnsi="SimSun" w:eastAsia="SimSun"/>
                <w:sz w:val="17"/>
              </w:rPr>
              <w:t>膨胀框）；白色＝自由空间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"构件C 顶面≤跨越高度 不标记为障碍"、"净空&gt;平台高度 不标记为障碍"、"可从下穿行"、"带电体安全距离标记"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① 带电构件应画</w:t>
            </w:r>
            <w:r>
              <w:rPr>
                <w:rFonts w:ascii="SimSun" w:hAnsi="SimSun" w:eastAsia="SimSun"/>
                <w:b/>
                <w:sz w:val="17"/>
              </w:rPr>
              <w:t>三层</w:t>
            </w:r>
            <w:r>
              <w:rPr>
                <w:rFonts w:ascii="SimSun" w:hAnsi="SimSun" w:eastAsia="SimSun"/>
                <w:sz w:val="17"/>
              </w:rPr>
              <w:t>：最内层构件本体、中间层电气安全距离禁入区、最外层在禁入区基础上再按平台半径的膨胀。只画两层会误导为"安全区不参与膨胀"；② 未标记为障碍的构件（C、D）</w:t>
            </w:r>
            <w:r>
              <w:rPr>
                <w:rFonts w:ascii="SimSun" w:hAnsi="SimSun" w:eastAsia="SimSun"/>
                <w:b/>
                <w:sz w:val="17"/>
              </w:rPr>
              <w:t>其外不得画膨胀框</w:t>
            </w:r>
            <w:r>
              <w:rPr>
                <w:rFonts w:ascii="SimSun" w:hAnsi="SimSun" w:eastAsia="SimSun"/>
                <w:sz w:val="17"/>
              </w:rPr>
              <w:t>——既然不是障碍就不会被膨胀，画了会自相矛盾；③ 障碍、禁入、膨胀是三种不同性质的标记，不得用同一种阴影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3　候选补充扫描站位与距离层示意图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候选补充扫描站位与距离层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一个有限长的目标表面分块；其形心（明确标出的点）；自形心出发的单位法向箭头；围绕法向的锥形范围两条边界线；三个距离层 d1／d2／d3；保留的候选与被剔除的候选；一个经自由空间投影后偏离距离层的候选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自形心指向法向侧的单箭头，标"法向 n"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粗实线＝目标表面分块；实心小点＝形心；点划线＝法向锥的两条边界；灰带＝距离层；虚线＝层中心距离；实心圆＝保留的候选；空心圆＝被剔除的候选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"目标表面分块"、"形心"、"法向 n"、"法向锥（方位角偏置范围）"、"距离层 d1／d2／d3"；图下方两行图例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★ </w:t>
            </w:r>
            <w:r>
              <w:rPr>
                <w:rFonts w:ascii="SimSun" w:hAnsi="SimSun" w:eastAsia="SimSun"/>
                <w:b/>
                <w:sz w:val="17"/>
              </w:rPr>
              <w:t>距离层的几何</w:t>
            </w:r>
            <w:r>
              <w:rPr>
                <w:rFonts w:ascii="SimSun" w:hAnsi="SimSun" w:eastAsia="SimSun"/>
                <w:sz w:val="17"/>
              </w:rPr>
              <w:t>。候选位置由"分块形心 + 距离档 × 方向"确定，方向为该分块单位法向经方位角与俯仰角偏置旋转所得。因此距离层是</w:t>
            </w:r>
            <w:r>
              <w:rPr>
                <w:rFonts w:ascii="SimSun" w:hAnsi="SimSun" w:eastAsia="SimSun"/>
                <w:b/>
                <w:sz w:val="17"/>
              </w:rPr>
              <w:t>以分块形心为球心、以距离档为半径、限制在法向锥内的球面区段</w:t>
            </w:r>
            <w:r>
              <w:rPr>
                <w:rFonts w:ascii="SimSun" w:hAnsi="SimSun" w:eastAsia="SimSun"/>
                <w:sz w:val="17"/>
              </w:rPr>
              <w:t>，平面投影中表现为围绕形心的圆弧带。</w:t>
            </w:r>
            <w:r>
              <w:rPr>
                <w:rFonts w:ascii="SimSun" w:hAnsi="SimSun" w:eastAsia="SimSun"/>
                <w:b/>
                <w:sz w:val="17"/>
              </w:rPr>
              <w:t>不得画成沿分块整段外扩的壳带</w:t>
            </w:r>
            <w:r>
              <w:rPr>
                <w:rFonts w:ascii="SimSun" w:hAnsi="SimSun" w:eastAsia="SimSun"/>
                <w:sz w:val="17"/>
              </w:rPr>
              <w:t>（那对应"到整片分块的等距轨迹"，与本方法的候选生成方式不符）；</w:t>
            </w:r>
            <w:r>
              <w:rPr>
                <w:rFonts w:ascii="SimSun" w:hAnsi="SimSun" w:eastAsia="SimSun"/>
                <w:b/>
                <w:sz w:val="17"/>
              </w:rPr>
              <w:t>也不得画成完整同心圆</w:t>
            </w:r>
            <w:r>
              <w:rPr>
                <w:rFonts w:ascii="SimSun" w:hAnsi="SimSun" w:eastAsia="SimSun"/>
                <w:sz w:val="17"/>
              </w:rPr>
              <w:t>（候选被限制在法向锥内，背面与侧向没有候选）。另：本图只画目标导向候选，S3 另由自由栅格节点生成的候选不在图中示出，须在图例注明；候选经自由空间投影后可偏离距离层中心线，应至少画出一个并标注，否则读者会以为最终站位必须严格落在距离层上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4　在线发现模型外遮挡物示意图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在线发现模型外遮挡物（上：并入发现体素之前；下：并入之后）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上下两幅子图，各含：候选站位、目标表面分块、模型外遮挡物（现场存在）；下幅另含发现体素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自候选站位指向目标表面分块的射线。上幅贯通至分块；下幅在发现体素处终止，终止处画一短粗横杠表示阻断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交叉阴影实体＝模型外遮挡物（现场存在的实物）；点线方格＝发现体素；粗实线段＝目标表面分块；实心圆＝候选站位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上幅："射线在规划用遮挡模型上无阻断 → 预测为可见"，以及"交叉阴影块仅表示真实现场中客观存在的物体；并入发现体素之前，该几何不属于规划用遮挡模型"；下幅："射线被发现体素阻断 → 预测为不可见"，以及"满足 d(x,T)&gt;eps 且高度&gt;z0 的回波点 → 体素化 → 并入规划用遮挡模型"、"点线方格＝发现体素（不携带分块归属，只作遮挡体，不是新的待扫目标）"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字符注意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图中一律写 </w:t>
            </w:r>
            <w:r>
              <w:rPr>
                <w:rFonts w:ascii="Consolas" w:hAnsi="Consolas" w:eastAsia="Consolas"/>
                <w:sz w:val="17"/>
              </w:rPr>
              <w:t>eps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z0</w:t>
            </w:r>
            <w:r>
              <w:rPr>
                <w:rFonts w:ascii="SimSun" w:hAnsi="SimSun" w:eastAsia="SimSun"/>
                <w:sz w:val="17"/>
              </w:rPr>
              <w:t xml:space="preserve"> 等 ASCII 形式，</w:t>
            </w:r>
            <w:r>
              <w:rPr>
                <w:rFonts w:ascii="SimSun" w:hAnsi="SimSun" w:eastAsia="SimSun"/>
                <w:b/>
                <w:sz w:val="17"/>
              </w:rPr>
              <w:t>不使用 ε、z₀ 等特殊字符与下标</w:t>
            </w:r>
            <w:r>
              <w:rPr>
                <w:rFonts w:ascii="SimSun" w:hAnsi="SimSun" w:eastAsia="SimSun"/>
                <w:sz w:val="17"/>
              </w:rPr>
              <w:t>——中文字体常缺这些字形，会渲染成方框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① 发现体素必须与目标表面分块用</w:t>
            </w:r>
            <w:r>
              <w:rPr>
                <w:rFonts w:ascii="SimSun" w:hAnsi="SimSun" w:eastAsia="SimSun"/>
                <w:b/>
                <w:sz w:val="17"/>
              </w:rPr>
              <w:t>明显不同</w:t>
            </w:r>
            <w:r>
              <w:rPr>
                <w:rFonts w:ascii="SimSun" w:hAnsi="SimSun" w:eastAsia="SimSun"/>
                <w:sz w:val="17"/>
              </w:rPr>
              <w:t>的线型／填充，且必须显式标注"不携带分块归属"——这是"体素只作遮挡体、不作新的待扫目标"这一必要技术特征的唯一图示；② 上幅中现场遮挡物必须画出来（它客观存在，只是不在设计模型里），若上幅不画，读者会以为下幅的体素凭空产生；③ 上下两幅的候选站位与目标分块位置必须完全一致，否则无法对比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5　剩余预算的等代价边界示意图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剩余预算的等代价边界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当前位置；若干道带门洞的墙体；等代价边界；预算内可达区域；待执行站位若干（均在边界之外）；回退所选候选一个（在边界之内）；作为对照的同代价欧氏圆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一条指引箭头自图例文字指向门洞处，说明边界在此受墙体约束、只能经门洞向右延伸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粗实线＝等代价边界；细虚线＝同代价的欧氏圆（</w:t>
            </w:r>
            <w:r>
              <w:rPr>
                <w:rFonts w:ascii="SimSun" w:hAnsi="SimSun" w:eastAsia="SimSun"/>
                <w:b/>
                <w:sz w:val="17"/>
              </w:rPr>
              <w:t>对照用，非本方案所用</w:t>
            </w:r>
            <w:r>
              <w:rPr>
                <w:rFonts w:ascii="SimSun" w:hAnsi="SimSun" w:eastAsia="SimSun"/>
                <w:sz w:val="17"/>
              </w:rPr>
              <w:t>）；灰区＝剩余预算内可达；实心填充＝障碍；空心三角＝待执行站位；实心圆＝回退所选候选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"当前位置"、"待执行站位：均在边界之外（剩余预算内不可达）"、"回退所选候选：全部候选中满足 ℓ(v)≤B 且价值最高者"、"门洞：边界受墙体约束，只能经此向右延伸"；图例须写出数学含义"灰区：ℓ(v)≤B　粗实线：ℓ(v)=B　边界之外：ℓ(v)&gt;B"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★ 本图最易画错之处</w:t>
            </w:r>
            <w:r>
              <w:rPr>
                <w:rFonts w:ascii="SimSun" w:hAnsi="SimSun" w:eastAsia="SimSun"/>
                <w:sz w:val="17"/>
              </w:rPr>
              <w:t>：等代价边界</w:t>
            </w:r>
            <w:r>
              <w:rPr>
                <w:rFonts w:ascii="SimSun" w:hAnsi="SimSun" w:eastAsia="SimSun"/>
                <w:b/>
                <w:sz w:val="17"/>
              </w:rPr>
              <w:t>不得</w:t>
            </w:r>
            <w:r>
              <w:rPr>
                <w:rFonts w:ascii="SimSun" w:hAnsi="SimSun" w:eastAsia="SimSun"/>
                <w:sz w:val="17"/>
              </w:rPr>
              <w:t>画成以当前位置为圆心的欧氏圆。它是"自当前位置沿可通行空间的最短路径代价等于剩余预算"的等值线，因此必须：① 在墙体处被截断而非穿墙；② 穿过门洞后在门洞另一侧形成凸出（因为路径必须绕行，同样的代价只能走到更近的直线距离）；③ 与同代价欧氏圆明显不重合。本图中的边界由真实的八邻域最短路距离场计算得到，不是手绘。另：回退所选候选的标注须写明它来自</w:t>
            </w:r>
            <w:r>
              <w:rPr>
                <w:rFonts w:ascii="SimSun" w:hAnsi="SimSun" w:eastAsia="SimSun"/>
                <w:b/>
                <w:sz w:val="17"/>
              </w:rPr>
              <w:t>全部候选</w:t>
            </w:r>
            <w:r>
              <w:rPr>
                <w:rFonts w:ascii="SimSun" w:hAnsi="SimSun" w:eastAsia="SimSun"/>
                <w:sz w:val="17"/>
              </w:rPr>
              <w:t>而非原待执行站位集合——这是两阶段回退最关键的技术点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6　有缺口构件的目标表面分块选取示意图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有缺口构件的目标表面分块选取（左：按固定条数截断；右：按构件分组）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左右两幅子图，各含若干大面积构件与若干小尺寸构件，</w:t>
            </w:r>
            <w:r>
              <w:rPr>
                <w:rFonts w:ascii="SimSun" w:hAnsi="SimSun" w:eastAsia="SimSun"/>
                <w:b/>
                <w:sz w:val="17"/>
              </w:rPr>
              <w:t>且图中所示构件均为已按缺口判定条件判定为存在缺口者</w:t>
            </w:r>
            <w:r>
              <w:rPr>
                <w:rFonts w:ascii="SimSun" w:hAnsi="SimSun" w:eastAsia="SimSun"/>
                <w:sz w:val="17"/>
              </w:rPr>
              <w:t>；入选目标分块集合的表面分块以星号标出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无箭头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灰底矩形＝构件；★＝入选目标分块集合的表面分块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"大面积的有缺口构件"、"小尺寸的有缺口构件"；左幅"按固定条数截断：名额被大面积构件占满，小尺寸的有缺口构件无表面分块入选"；右幅"按构件分组、容量随构件数缩放：</w:t>
            </w:r>
            <w:r>
              <w:rPr>
                <w:rFonts w:ascii="SimSun" w:hAnsi="SimSun" w:eastAsia="SimSun"/>
                <w:b/>
                <w:sz w:val="17"/>
              </w:rPr>
              <w:t>在容量上限未触发时</w:t>
            </w:r>
            <w:r>
              <w:rPr>
                <w:rFonts w:ascii="SimSun" w:hAnsi="SimSun" w:eastAsia="SimSun"/>
                <w:sz w:val="17"/>
              </w:rPr>
              <w:t>，各有缺口构件均有分块入选"；图下方注"★＝入选目标分块集合的表面分块；图中构件均已判定存在缺口，无缺口的构件不参与分组"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★ </w:t>
            </w:r>
            <w:r>
              <w:rPr>
                <w:rFonts w:ascii="SimSun" w:hAnsi="SimSun" w:eastAsia="SimSun"/>
                <w:b/>
                <w:sz w:val="17"/>
              </w:rPr>
              <w:t>两个前提都不能省</w:t>
            </w:r>
            <w:r>
              <w:rPr>
                <w:rFonts w:ascii="SimSun" w:hAnsi="SimSun" w:eastAsia="SimSun"/>
                <w:sz w:val="17"/>
              </w:rPr>
              <w:t>。其一，</w:t>
            </w:r>
            <w:r>
              <w:rPr>
                <w:rFonts w:ascii="SimSun" w:hAnsi="SimSun" w:eastAsia="SimSun"/>
                <w:b/>
                <w:sz w:val="17"/>
              </w:rPr>
              <w:t>缺口前提</w:t>
            </w:r>
            <w:r>
              <w:rPr>
                <w:rFonts w:ascii="SimSun" w:hAnsi="SimSun" w:eastAsia="SimSun"/>
                <w:sz w:val="17"/>
              </w:rPr>
              <w:t>：若只写"每一构件均有表面分块入选"，读者会理解为"即使构件已扫描完整也强制选取"，与方法不符——分组只在已判定为存在缺口的表面分块之中进行。其二，</w:t>
            </w:r>
            <w:r>
              <w:rPr>
                <w:rFonts w:ascii="SimSun" w:hAnsi="SimSun" w:eastAsia="SimSun"/>
                <w:b/>
                <w:sz w:val="17"/>
              </w:rPr>
              <w:t>容量前提</w:t>
            </w:r>
            <w:r>
              <w:rPr>
                <w:rFonts w:ascii="SimSun" w:hAnsi="SimSun" w:eastAsia="SimSun"/>
                <w:sz w:val="17"/>
              </w:rPr>
              <w:t>：说明书明确该保证只在容量上限未触发时成立（本实施方式即有缺口构件数不超过 200 时），超过时排序靠后的构件可能无分块入选。图中标签必须写成"在容量上限未触发时"或"在所示实施例中"，</w:t>
            </w:r>
            <w:r>
              <w:rPr>
                <w:rFonts w:ascii="SimSun" w:hAnsi="SimSun" w:eastAsia="SimSun"/>
                <w:b/>
                <w:sz w:val="17"/>
              </w:rPr>
              <w:t>不得作绝对表述</w:t>
            </w:r>
            <w:r>
              <w:rPr>
                <w:rFonts w:ascii="SimSun" w:hAnsi="SimSun" w:eastAsia="SimSun"/>
                <w:sz w:val="17"/>
              </w:rPr>
              <w:t>。另：左幅中小尺寸构件必须一个星号都没有；左右两幅的构件位置与数量必须完全一致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附：正式申请稿排版前的检查项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1. 六幅图的中文标注须与说明书用词完全一致（表面分块／候选补充扫描站位／规划用遮挡模型／可通行路径代价／待执行站位／失败站位）。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2. 图中不得出现任何数值实验结果、代码路径或提交标识。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3. 若按专利局要求改为黑白线条图，图 2 的三种阴影、图 4 的两种填充、图 5 的灰区须改用可区分的线条纹样，且图例同步更新。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4. 图 1、图 3、图 5、图 6 的"易错之处"须在交付制图人员时单独强调：图 1 的 S7b在 S7a 之前；图 3 的距离层是围绕形心的球面区段，既非沿分块外扩的壳、也非完整同心圆；图 5 的边界是等代价边界而非欧氏圆；图 6 须带"有缺口"前提。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