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00" w:after="80"/>
      </w:pPr>
      <w:r>
        <w:rPr>
          <w:rFonts w:ascii="SimHei" w:hAnsi="SimHei" w:eastAsia="SimHei"/>
          <w:color w:val="000000"/>
          <w:sz w:val="32"/>
        </w:rPr>
        <w:t>实验与证据说明</w:t>
      </w:r>
    </w:p>
    <w:p>
      <w:pPr>
        <w:spacing w:after="80"/>
        <w:jc w:val="both"/>
      </w:pPr>
      <w:r>
        <w:rPr>
          <w:rFonts w:ascii="SimSun" w:hAnsi="SimSun" w:eastAsia="SimSun"/>
        </w:rPr>
        <w:t>本表给出说明书"有益效果"一节每一处数字的来源，以及每条主张</w:t>
      </w:r>
      <w:r>
        <w:rPr>
          <w:rFonts w:ascii="SimSun" w:hAnsi="SimSun" w:eastAsia="SimSun"/>
          <w:b/>
        </w:rPr>
        <w:t>可以支持的表述</w:t>
      </w:r>
      <w:r>
        <w:rPr>
          <w:rFonts w:ascii="SimSun" w:hAnsi="SimSun" w:eastAsia="SimSun"/>
        </w:rPr>
        <w:t>与</w:t>
      </w:r>
      <w:r>
        <w:rPr>
          <w:rFonts w:ascii="SimSun" w:hAnsi="SimSun" w:eastAsia="SimSun"/>
          <w:b/>
        </w:rPr>
        <w:t>不得超出的表述边界</w:t>
      </w:r>
      <w:r>
        <w:rPr>
          <w:rFonts w:ascii="SimSun" w:hAnsi="SimSun" w:eastAsia="SimSun"/>
        </w:rPr>
        <w:t>。答复审查意见时同样以本表为准。</w:t>
      </w:r>
    </w:p>
    <w:p>
      <w:pPr>
        <w:spacing w:after="80"/>
        <w:jc w:val="both"/>
      </w:pPr>
      <w:r>
        <w:rPr>
          <w:rFonts w:ascii="Consolas" w:hAnsi="Consolas" w:eastAsia="Consolas"/>
          <w:sz w:val="18"/>
        </w:rPr>
        <w:t>实验记录/</w:t>
      </w:r>
      <w:r>
        <w:rPr>
          <w:rFonts w:ascii="SimSun" w:hAnsi="SimSun" w:eastAsia="SimSun"/>
        </w:rPr>
        <w:t xml:space="preserve"> 下为各项实验由程序直接输出的原始汇总（含运行环境标识），供核对本表数值之用。</w:t>
      </w:r>
    </w:p>
    <w:p>
      <w:pPr>
        <w:spacing w:after="80"/>
        <w:jc w:val="both"/>
      </w:pPr>
      <w:r>
        <w:rPr>
          <w:rFonts w:ascii="SimSun" w:hAnsi="SimSun" w:eastAsia="SimSun"/>
        </w:rPr>
        <w:t>全部实验在合成场站场景与降级射线仿真器上完成（角步长 0.4°，真实地面激光扫描仪为0.02–0.08°；无波形与大气模型），另在一栋真实建筑的设计模型与实测点云上验证了流程可执行性。</w:t>
      </w:r>
      <w:r>
        <w:rPr>
          <w:rFonts w:ascii="SimSun" w:hAnsi="SimSun" w:eastAsia="SimSun"/>
          <w:b/>
        </w:rPr>
        <w:t>本方法尚未在真实工业场站的实测数据上完成效果验证。</w:t>
      </w:r>
    </w:p>
    <w:p>
      <w:pPr>
        <w:spacing w:after="80"/>
        <w:jc w:val="both"/>
      </w:pPr>
      <w:r>
        <w:rPr>
          <w:rFonts w:ascii="SimSun" w:hAnsi="SimSun" w:eastAsia="SimSun"/>
          <w:b/>
        </w:rPr>
        <w:t>证据等级</w:t>
      </w:r>
      <w:r>
        <w:rPr>
          <w:rFonts w:ascii="SimSun" w:hAnsi="SimSun" w:eastAsia="SimSun"/>
        </w:rPr>
        <w:t>：</w:t>
      </w:r>
      <w:r>
        <w:rPr>
          <w:rFonts w:ascii="SimSun" w:hAnsi="SimSun" w:eastAsia="SimSun"/>
          <w:b/>
        </w:rPr>
        <w:t>[A]</w:t>
      </w:r>
      <w:r>
        <w:rPr>
          <w:rFonts w:ascii="SimSun" w:hAnsi="SimSun" w:eastAsia="SimSun"/>
        </w:rPr>
        <w:t xml:space="preserve"> 材料明确支持 ｜ </w:t>
      </w:r>
      <w:r>
        <w:rPr>
          <w:rFonts w:ascii="SimSun" w:hAnsi="SimSun" w:eastAsia="SimSun"/>
          <w:b/>
        </w:rPr>
        <w:t>[B]</w:t>
      </w:r>
      <w:r>
        <w:rPr>
          <w:rFonts w:ascii="SimSun" w:hAnsi="SimSun" w:eastAsia="SimSun"/>
        </w:rPr>
        <w:t xml:space="preserve"> 可由材料合理推出 ｜</w:t>
      </w:r>
      <w:r>
        <w:rPr>
          <w:rFonts w:ascii="SimSun" w:hAnsi="SimSun" w:eastAsia="SimSun"/>
          <w:b/>
        </w:rPr>
        <w:t>[C]</w:t>
      </w:r>
      <w:r>
        <w:rPr>
          <w:rFonts w:ascii="SimSun" w:hAnsi="SimSun" w:eastAsia="SimSun"/>
        </w:rPr>
        <w:t xml:space="preserve"> 为完整性建议补充，未实现 ｜ </w:t>
      </w:r>
      <w:r>
        <w:rPr>
          <w:rFonts w:ascii="SimSun" w:hAnsi="SimSun" w:eastAsia="SimSun"/>
          <w:b/>
        </w:rPr>
        <w:t>[D]</w:t>
      </w:r>
      <w:r>
        <w:rPr>
          <w:rFonts w:ascii="SimSun" w:hAnsi="SimSun" w:eastAsia="SimSun"/>
        </w:rPr>
        <w:t xml:space="preserve"> 材料不足以确定</w:t>
      </w:r>
    </w:p>
    <w:p>
      <w:pPr>
        <w:pStyle w:val="Heading2"/>
        <w:spacing w:before="200" w:after="80"/>
      </w:pPr>
      <w:r>
        <w:rPr>
          <w:rFonts w:ascii="SimHei" w:hAnsi="SimHei" w:eastAsia="SimHei"/>
          <w:color w:val="000000"/>
          <w:sz w:val="27"/>
        </w:rPr>
        <w:t>1. 主张—证据对照</w:t>
      </w:r>
    </w:p>
    <w:p>
      <w:pPr>
        <w:pStyle w:val="Heading3"/>
        <w:spacing w:before="120" w:after="80"/>
      </w:pPr>
      <w:r>
        <w:rPr>
          <w:rFonts w:ascii="SimHei" w:hAnsi="SimHei" w:eastAsia="SimHei"/>
          <w:color w:val="000000"/>
          <w:sz w:val="24"/>
        </w:rPr>
        <w:t>1.1 在线遮挡发现降低可见性预测误差</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before="20" w:after="20"/>
            </w:pPr>
            <w:r>
              <w:rPr>
                <w:rFonts w:ascii="SimSun" w:hAnsi="SimSun" w:eastAsia="SimSun"/>
                <w:b/>
                <w:sz w:val="17"/>
              </w:rPr>
              <w:t>项</w:t>
            </w:r>
          </w:p>
        </w:tc>
        <w:tc>
          <w:tcPr>
            <w:tcW w:type="dxa" w:w="4320"/>
          </w:tcPr>
          <w:p>
            <w:pPr>
              <w:spacing w:before="20" w:after="20"/>
            </w:pPr>
            <w:r>
              <w:rPr>
                <w:rFonts w:ascii="SimSun" w:hAnsi="SimSun" w:eastAsia="SimSun"/>
                <w:b/>
                <w:sz w:val="17"/>
              </w:rPr>
              <w:t>内容</w:t>
            </w:r>
          </w:p>
        </w:tc>
      </w:tr>
      <w:tr>
        <w:tc>
          <w:tcPr>
            <w:tcW w:type="dxa" w:w="4320"/>
          </w:tcPr>
          <w:p>
            <w:pPr>
              <w:spacing w:before="20" w:after="20"/>
            </w:pPr>
            <w:r>
              <w:rPr>
                <w:rFonts w:ascii="SimSun" w:hAnsi="SimSun" w:eastAsia="SimSun"/>
                <w:b/>
                <w:sz w:val="17"/>
              </w:rPr>
              <w:t>主张</w:t>
            </w:r>
          </w:p>
        </w:tc>
        <w:tc>
          <w:tcPr>
            <w:tcW w:type="dxa" w:w="4320"/>
          </w:tcPr>
          <w:p>
            <w:pPr>
              <w:spacing w:before="20" w:after="20"/>
            </w:pPr>
            <w:r>
              <w:rPr>
                <w:rFonts w:ascii="SimSun" w:hAnsi="SimSun" w:eastAsia="SimSun"/>
                <w:sz w:val="17"/>
              </w:rPr>
              <w:t>并入发现体素后，候选站位对表面分块的可见性预测的平均绝对误差降低 2.7–8.7 倍</w:t>
            </w:r>
          </w:p>
        </w:tc>
      </w:tr>
      <w:tr>
        <w:tc>
          <w:tcPr>
            <w:tcW w:type="dxa" w:w="4320"/>
          </w:tcPr>
          <w:p>
            <w:pPr>
              <w:spacing w:before="20" w:after="20"/>
            </w:pPr>
            <w:r>
              <w:rPr>
                <w:rFonts w:ascii="SimSun" w:hAnsi="SimSun" w:eastAsia="SimSun"/>
                <w:b/>
                <w:sz w:val="17"/>
              </w:rPr>
              <w:t>证据等级</w:t>
            </w:r>
          </w:p>
        </w:tc>
        <w:tc>
          <w:tcPr>
            <w:tcW w:type="dxa" w:w="4320"/>
          </w:tcPr>
          <w:p>
            <w:pPr>
              <w:spacing w:before="20" w:after="20"/>
            </w:pPr>
            <w:r>
              <w:rPr>
                <w:rFonts w:ascii="SimSun" w:hAnsi="SimSun" w:eastAsia="SimSun"/>
                <w:b/>
                <w:sz w:val="17"/>
              </w:rPr>
              <w:t>[A]</w:t>
            </w:r>
          </w:p>
        </w:tc>
      </w:tr>
      <w:tr>
        <w:tc>
          <w:tcPr>
            <w:tcW w:type="dxa" w:w="4320"/>
          </w:tcPr>
          <w:p>
            <w:pPr>
              <w:spacing w:before="20" w:after="20"/>
            </w:pPr>
            <w:r>
              <w:rPr>
                <w:rFonts w:ascii="SimSun" w:hAnsi="SimSun" w:eastAsia="SimSun"/>
                <w:b/>
                <w:sz w:val="17"/>
              </w:rPr>
              <w:t>对应实验</w:t>
            </w:r>
          </w:p>
        </w:tc>
        <w:tc>
          <w:tcPr>
            <w:tcW w:type="dxa" w:w="4320"/>
          </w:tcPr>
          <w:p>
            <w:pPr>
              <w:spacing w:before="20" w:after="20"/>
            </w:pPr>
            <w:r>
              <w:rPr>
                <w:rFonts w:ascii="SimSun" w:hAnsi="SimSun" w:eastAsia="SimSun"/>
                <w:sz w:val="17"/>
              </w:rPr>
              <w:t>遮挡发现可见性误差专项测量</w:t>
            </w:r>
          </w:p>
        </w:tc>
      </w:tr>
      <w:tr>
        <w:tc>
          <w:tcPr>
            <w:tcW w:type="dxa" w:w="4320"/>
          </w:tcPr>
          <w:p>
            <w:pPr>
              <w:spacing w:before="20" w:after="20"/>
            </w:pPr>
            <w:r>
              <w:rPr>
                <w:rFonts w:ascii="SimSun" w:hAnsi="SimSun" w:eastAsia="SimSun"/>
                <w:b/>
                <w:sz w:val="17"/>
              </w:rPr>
              <w:t>样本规模</w:t>
            </w:r>
          </w:p>
        </w:tc>
        <w:tc>
          <w:tcPr>
            <w:tcW w:type="dxa" w:w="4320"/>
          </w:tcPr>
          <w:p>
            <w:pPr>
              <w:spacing w:before="20" w:after="20"/>
            </w:pPr>
            <w:r>
              <w:rPr>
                <w:rFonts w:ascii="SimSun" w:hAnsi="SimSun" w:eastAsia="SimSun"/>
                <w:sz w:val="17"/>
              </w:rPr>
              <w:t>3 个随机种子 × 7 个网格视点 × 约 500 个表面分块；设置 6 个模型外遮挡物</w:t>
            </w:r>
          </w:p>
        </w:tc>
      </w:tr>
      <w:tr>
        <w:tc>
          <w:tcPr>
            <w:tcW w:type="dxa" w:w="4320"/>
          </w:tcPr>
          <w:p>
            <w:pPr>
              <w:spacing w:before="20" w:after="20"/>
            </w:pPr>
            <w:r>
              <w:rPr>
                <w:rFonts w:ascii="SimSun" w:hAnsi="SimSun" w:eastAsia="SimSun"/>
                <w:b/>
                <w:sz w:val="17"/>
              </w:rPr>
              <w:t>具体数值</w:t>
            </w:r>
          </w:p>
        </w:tc>
        <w:tc>
          <w:tcPr>
            <w:tcW w:type="dxa" w:w="4320"/>
          </w:tcPr>
          <w:p>
            <w:pPr>
              <w:spacing w:before="20" w:after="20"/>
            </w:pPr>
            <w:r>
              <w:rPr>
                <w:rFonts w:ascii="SimSun" w:hAnsi="SimSun" w:eastAsia="SimSun"/>
                <w:sz w:val="17"/>
              </w:rPr>
              <w:t>种子 0：高估 502→10，MAE 0.1063→0.0123（8.7 倍）；种子 1：381→0，0.0730→0.0267（2.7 倍）；种子 2：407→19，0.0795→0.0196（4.1 倍）</w:t>
            </w:r>
          </w:p>
        </w:tc>
      </w:tr>
      <w:tr>
        <w:tc>
          <w:tcPr>
            <w:tcW w:type="dxa" w:w="4320"/>
          </w:tcPr>
          <w:p>
            <w:pPr>
              <w:spacing w:before="20" w:after="20"/>
            </w:pPr>
            <w:r>
              <w:rPr>
                <w:rFonts w:ascii="SimSun" w:hAnsi="SimSun" w:eastAsia="SimSun"/>
                <w:b/>
                <w:sz w:val="17"/>
              </w:rPr>
              <w:t>可以支持的表述</w:t>
            </w:r>
          </w:p>
        </w:tc>
        <w:tc>
          <w:tcPr>
            <w:tcW w:type="dxa" w:w="4320"/>
          </w:tcPr>
          <w:p>
            <w:pPr>
              <w:spacing w:before="20" w:after="20"/>
            </w:pPr>
            <w:r>
              <w:rPr>
                <w:rFonts w:ascii="SimSun" w:hAnsi="SimSun" w:eastAsia="SimSun"/>
                <w:sz w:val="17"/>
              </w:rPr>
              <w:t>"降低可见性预测的平均绝对误差"；"消除绝大部分高估条目"；"设计模型与现场一致时不产生任何发现体素"</w:t>
            </w:r>
          </w:p>
        </w:tc>
      </w:tr>
      <w:tr>
        <w:tc>
          <w:tcPr>
            <w:tcW w:type="dxa" w:w="4320"/>
          </w:tcPr>
          <w:p>
            <w:pPr>
              <w:spacing w:before="20" w:after="20"/>
            </w:pPr>
            <w:r>
              <w:rPr>
                <w:rFonts w:ascii="SimSun" w:hAnsi="SimSun" w:eastAsia="SimSun"/>
                <w:b/>
                <w:sz w:val="17"/>
              </w:rPr>
              <w:t>明确禁止的表述</w:t>
            </w:r>
          </w:p>
        </w:tc>
        <w:tc>
          <w:tcPr>
            <w:tcW w:type="dxa" w:w="4320"/>
          </w:tcPr>
          <w:p>
            <w:pPr>
              <w:spacing w:before="20" w:after="20"/>
            </w:pPr>
            <w:r>
              <w:rPr>
                <w:rFonts w:ascii="SimSun" w:hAnsi="SimSun" w:eastAsia="SimSun"/>
                <w:sz w:val="17"/>
              </w:rPr>
              <w:t>❌"提高最终扫描覆盖率／缺口恢复率"（见 1.2）；❌"消除预测误差"；❌"完全避免误判"</w:t>
            </w:r>
          </w:p>
        </w:tc>
      </w:tr>
      <w:tr>
        <w:tc>
          <w:tcPr>
            <w:tcW w:type="dxa" w:w="4320"/>
          </w:tcPr>
          <w:p>
            <w:pPr>
              <w:spacing w:before="20" w:after="20"/>
            </w:pPr>
            <w:r>
              <w:rPr>
                <w:rFonts w:ascii="SimSun" w:hAnsi="SimSun" w:eastAsia="SimSun"/>
                <w:b/>
                <w:sz w:val="17"/>
              </w:rPr>
              <w:t>须一并记载的代价</w:t>
            </w:r>
          </w:p>
        </w:tc>
        <w:tc>
          <w:tcPr>
            <w:tcW w:type="dxa" w:w="4320"/>
          </w:tcPr>
          <w:p>
            <w:pPr>
              <w:spacing w:before="20" w:after="20"/>
            </w:pPr>
            <w:r>
              <w:rPr>
                <w:rFonts w:ascii="SimSun" w:hAnsi="SimSun" w:eastAsia="SimSun"/>
                <w:sz w:val="17"/>
              </w:rPr>
              <w:t>低估条目由 0 分别增至 132、242、188；地面高度阈值使遮挡物底部留缝</w:t>
            </w:r>
          </w:p>
        </w:tc>
      </w:tr>
    </w:tbl>
    <w:p/>
    <w:p>
      <w:pPr>
        <w:pStyle w:val="Heading3"/>
        <w:spacing w:before="120" w:after="80"/>
      </w:pPr>
      <w:r>
        <w:rPr>
          <w:rFonts w:ascii="SimHei" w:hAnsi="SimHei" w:eastAsia="SimHei"/>
          <w:color w:val="000000"/>
          <w:sz w:val="24"/>
        </w:rPr>
        <w:t>1.2 在线遮挡发现对最终恢复率的影响</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before="20" w:after="20"/>
            </w:pPr>
            <w:r>
              <w:rPr>
                <w:rFonts w:ascii="SimSun" w:hAnsi="SimSun" w:eastAsia="SimSun"/>
                <w:b/>
                <w:sz w:val="17"/>
              </w:rPr>
              <w:t>项</w:t>
            </w:r>
          </w:p>
        </w:tc>
        <w:tc>
          <w:tcPr>
            <w:tcW w:type="dxa" w:w="4320"/>
          </w:tcPr>
          <w:p>
            <w:pPr>
              <w:spacing w:before="20" w:after="20"/>
            </w:pPr>
            <w:r>
              <w:rPr>
                <w:rFonts w:ascii="SimSun" w:hAnsi="SimSun" w:eastAsia="SimSun"/>
                <w:b/>
                <w:sz w:val="17"/>
              </w:rPr>
              <w:t>内容</w:t>
            </w:r>
          </w:p>
        </w:tc>
      </w:tr>
      <w:tr>
        <w:tc>
          <w:tcPr>
            <w:tcW w:type="dxa" w:w="4320"/>
          </w:tcPr>
          <w:p>
            <w:pPr>
              <w:spacing w:before="20" w:after="20"/>
            </w:pPr>
            <w:r>
              <w:rPr>
                <w:rFonts w:ascii="SimSun" w:hAnsi="SimSun" w:eastAsia="SimSun"/>
                <w:b/>
                <w:sz w:val="17"/>
              </w:rPr>
              <w:t>主张</w:t>
            </w:r>
          </w:p>
        </w:tc>
        <w:tc>
          <w:tcPr>
            <w:tcW w:type="dxa" w:w="4320"/>
          </w:tcPr>
          <w:p>
            <w:pPr>
              <w:spacing w:before="20" w:after="20"/>
            </w:pPr>
            <w:r>
              <w:rPr>
                <w:rFonts w:ascii="SimSun" w:hAnsi="SimSun" w:eastAsia="SimSun"/>
                <w:b/>
                <w:sz w:val="17"/>
              </w:rPr>
              <w:t>无可主张的效果</w:t>
            </w:r>
          </w:p>
        </w:tc>
      </w:tr>
      <w:tr>
        <w:tc>
          <w:tcPr>
            <w:tcW w:type="dxa" w:w="4320"/>
          </w:tcPr>
          <w:p>
            <w:pPr>
              <w:spacing w:before="20" w:after="20"/>
            </w:pPr>
            <w:r>
              <w:rPr>
                <w:rFonts w:ascii="SimSun" w:hAnsi="SimSun" w:eastAsia="SimSun"/>
                <w:b/>
                <w:sz w:val="17"/>
              </w:rPr>
              <w:t>证据等级</w:t>
            </w:r>
          </w:p>
        </w:tc>
        <w:tc>
          <w:tcPr>
            <w:tcW w:type="dxa" w:w="4320"/>
          </w:tcPr>
          <w:p>
            <w:pPr>
              <w:spacing w:before="20" w:after="20"/>
            </w:pPr>
            <w:r>
              <w:rPr>
                <w:rFonts w:ascii="SimSun" w:hAnsi="SimSun" w:eastAsia="SimSun"/>
                <w:b/>
                <w:sz w:val="17"/>
              </w:rPr>
              <w:t>[A]</w:t>
            </w:r>
            <w:r>
              <w:rPr>
                <w:rFonts w:ascii="SimSun" w:hAnsi="SimSun" w:eastAsia="SimSun"/>
                <w:sz w:val="17"/>
              </w:rPr>
              <w:t>（"无显著差异"这一事实本身有实验支持）</w:t>
            </w:r>
          </w:p>
        </w:tc>
      </w:tr>
      <w:tr>
        <w:tc>
          <w:tcPr>
            <w:tcW w:type="dxa" w:w="4320"/>
          </w:tcPr>
          <w:p>
            <w:pPr>
              <w:spacing w:before="20" w:after="20"/>
            </w:pPr>
            <w:r>
              <w:rPr>
                <w:rFonts w:ascii="SimSun" w:hAnsi="SimSun" w:eastAsia="SimSun"/>
                <w:b/>
                <w:sz w:val="17"/>
              </w:rPr>
              <w:t>对应实验</w:t>
            </w:r>
          </w:p>
        </w:tc>
        <w:tc>
          <w:tcPr>
            <w:tcW w:type="dxa" w:w="4320"/>
          </w:tcPr>
          <w:p>
            <w:pPr>
              <w:spacing w:before="20" w:after="20"/>
            </w:pPr>
            <w:r>
              <w:rPr>
                <w:rFonts w:ascii="SimSun" w:hAnsi="SimSun" w:eastAsia="SimSun"/>
                <w:sz w:val="17"/>
              </w:rPr>
              <w:t>模型外遮挡物对照实验（有／无在线发现）</w:t>
            </w:r>
          </w:p>
        </w:tc>
      </w:tr>
      <w:tr>
        <w:tc>
          <w:tcPr>
            <w:tcW w:type="dxa" w:w="4320"/>
          </w:tcPr>
          <w:p>
            <w:pPr>
              <w:spacing w:before="20" w:after="20"/>
            </w:pPr>
            <w:r>
              <w:rPr>
                <w:rFonts w:ascii="SimSun" w:hAnsi="SimSun" w:eastAsia="SimSun"/>
                <w:b/>
                <w:sz w:val="17"/>
              </w:rPr>
              <w:t>样本规模</w:t>
            </w:r>
          </w:p>
        </w:tc>
        <w:tc>
          <w:tcPr>
            <w:tcW w:type="dxa" w:w="4320"/>
          </w:tcPr>
          <w:p>
            <w:pPr>
              <w:spacing w:before="20" w:after="20"/>
            </w:pPr>
            <w:r>
              <w:rPr>
                <w:rFonts w:ascii="SimSun" w:hAnsi="SimSun" w:eastAsia="SimSun"/>
                <w:sz w:val="17"/>
              </w:rPr>
              <w:t>60 次运行，15 组配对</w:t>
            </w:r>
          </w:p>
        </w:tc>
      </w:tr>
      <w:tr>
        <w:tc>
          <w:tcPr>
            <w:tcW w:type="dxa" w:w="4320"/>
          </w:tcPr>
          <w:p>
            <w:pPr>
              <w:spacing w:before="20" w:after="20"/>
            </w:pPr>
            <w:r>
              <w:rPr>
                <w:rFonts w:ascii="SimSun" w:hAnsi="SimSun" w:eastAsia="SimSun"/>
                <w:b/>
                <w:sz w:val="17"/>
              </w:rPr>
              <w:t>具体数值</w:t>
            </w:r>
          </w:p>
        </w:tc>
        <w:tc>
          <w:tcPr>
            <w:tcW w:type="dxa" w:w="4320"/>
          </w:tcPr>
          <w:p>
            <w:pPr>
              <w:spacing w:before="20" w:after="20"/>
            </w:pPr>
            <w:r>
              <w:rPr>
                <w:rFonts w:ascii="SimSun" w:hAnsi="SimSun" w:eastAsia="SimSun"/>
                <w:sz w:val="17"/>
              </w:rPr>
              <w:t>构件等权恢复率差值 +0.023；配对置换检验 p = 0.5009；模型与现场一致时差值 +0.000</w:t>
            </w:r>
          </w:p>
        </w:tc>
      </w:tr>
      <w:tr>
        <w:tc>
          <w:tcPr>
            <w:tcW w:type="dxa" w:w="4320"/>
          </w:tcPr>
          <w:p>
            <w:pPr>
              <w:spacing w:before="20" w:after="20"/>
            </w:pPr>
            <w:r>
              <w:rPr>
                <w:rFonts w:ascii="SimSun" w:hAnsi="SimSun" w:eastAsia="SimSun"/>
                <w:b/>
                <w:sz w:val="17"/>
              </w:rPr>
              <w:t>可以支持的表述</w:t>
            </w:r>
          </w:p>
        </w:tc>
        <w:tc>
          <w:tcPr>
            <w:tcW w:type="dxa" w:w="4320"/>
          </w:tcPr>
          <w:p>
            <w:pPr>
              <w:spacing w:before="20" w:after="20"/>
            </w:pPr>
            <w:r>
              <w:rPr>
                <w:rFonts w:ascii="SimSun" w:hAnsi="SimSun" w:eastAsia="SimSun"/>
                <w:sz w:val="17"/>
              </w:rPr>
              <w:t>"该机制对最终缺口恢复率的影响未达统计显著"</w:t>
            </w:r>
          </w:p>
        </w:tc>
      </w:tr>
      <w:tr>
        <w:tc>
          <w:tcPr>
            <w:tcW w:type="dxa" w:w="4320"/>
          </w:tcPr>
          <w:p>
            <w:pPr>
              <w:spacing w:before="20" w:after="20"/>
            </w:pPr>
            <w:r>
              <w:rPr>
                <w:rFonts w:ascii="SimSun" w:hAnsi="SimSun" w:eastAsia="SimSun"/>
                <w:b/>
                <w:sz w:val="17"/>
              </w:rPr>
              <w:t>明确禁止的表述</w:t>
            </w:r>
          </w:p>
        </w:tc>
        <w:tc>
          <w:tcPr>
            <w:tcW w:type="dxa" w:w="4320"/>
          </w:tcPr>
          <w:p>
            <w:pPr>
              <w:spacing w:before="20" w:after="20"/>
            </w:pPr>
            <w:r>
              <w:rPr>
                <w:rFonts w:ascii="SimSun" w:hAnsi="SimSun" w:eastAsia="SimSun"/>
                <w:sz w:val="17"/>
              </w:rPr>
              <w:t>❌ 任何形式的"提高恢复率／覆盖率／召回率"</w:t>
            </w:r>
          </w:p>
        </w:tc>
      </w:tr>
    </w:tbl>
    <w:p/>
    <w:p>
      <w:pPr>
        <w:pStyle w:val="Heading3"/>
        <w:spacing w:before="120" w:after="80"/>
      </w:pPr>
      <w:r>
        <w:rPr>
          <w:rFonts w:ascii="SimHei" w:hAnsi="SimHei" w:eastAsia="SimHei"/>
          <w:color w:val="000000"/>
          <w:sz w:val="24"/>
        </w:rPr>
        <w:t>1.3 完整方案相对基线的缺口恢复率</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before="20" w:after="20"/>
            </w:pPr>
            <w:r>
              <w:rPr>
                <w:rFonts w:ascii="SimSun" w:hAnsi="SimSun" w:eastAsia="SimSun"/>
                <w:b/>
                <w:sz w:val="17"/>
              </w:rPr>
              <w:t>项</w:t>
            </w:r>
          </w:p>
        </w:tc>
        <w:tc>
          <w:tcPr>
            <w:tcW w:type="dxa" w:w="4320"/>
          </w:tcPr>
          <w:p>
            <w:pPr>
              <w:spacing w:before="20" w:after="20"/>
            </w:pPr>
            <w:r>
              <w:rPr>
                <w:rFonts w:ascii="SimSun" w:hAnsi="SimSun" w:eastAsia="SimSun"/>
                <w:b/>
                <w:sz w:val="17"/>
              </w:rPr>
              <w:t>内容</w:t>
            </w:r>
          </w:p>
        </w:tc>
      </w:tr>
      <w:tr>
        <w:tc>
          <w:tcPr>
            <w:tcW w:type="dxa" w:w="4320"/>
          </w:tcPr>
          <w:p>
            <w:pPr>
              <w:spacing w:before="20" w:after="20"/>
            </w:pPr>
            <w:r>
              <w:rPr>
                <w:rFonts w:ascii="SimSun" w:hAnsi="SimSun" w:eastAsia="SimSun"/>
                <w:b/>
                <w:sz w:val="17"/>
              </w:rPr>
              <w:t>主张</w:t>
            </w:r>
          </w:p>
        </w:tc>
        <w:tc>
          <w:tcPr>
            <w:tcW w:type="dxa" w:w="4320"/>
          </w:tcPr>
          <w:p>
            <w:pPr>
              <w:spacing w:before="20" w:after="20"/>
            </w:pPr>
            <w:r>
              <w:rPr>
                <w:rFonts w:ascii="SimSun" w:hAnsi="SimSun" w:eastAsia="SimSun"/>
                <w:sz w:val="17"/>
              </w:rPr>
              <w:t>完整方案在缺口加权恢复率上相对五条基线的优势均达统计显著</w:t>
            </w:r>
          </w:p>
        </w:tc>
      </w:tr>
      <w:tr>
        <w:tc>
          <w:tcPr>
            <w:tcW w:type="dxa" w:w="4320"/>
          </w:tcPr>
          <w:p>
            <w:pPr>
              <w:spacing w:before="20" w:after="20"/>
            </w:pPr>
            <w:r>
              <w:rPr>
                <w:rFonts w:ascii="SimSun" w:hAnsi="SimSun" w:eastAsia="SimSun"/>
                <w:b/>
                <w:sz w:val="17"/>
              </w:rPr>
              <w:t>证据等级</w:t>
            </w:r>
          </w:p>
        </w:tc>
        <w:tc>
          <w:tcPr>
            <w:tcW w:type="dxa" w:w="4320"/>
          </w:tcPr>
          <w:p>
            <w:pPr>
              <w:spacing w:before="20" w:after="20"/>
            </w:pPr>
            <w:r>
              <w:rPr>
                <w:rFonts w:ascii="SimSun" w:hAnsi="SimSun" w:eastAsia="SimSun"/>
                <w:b/>
                <w:sz w:val="17"/>
              </w:rPr>
              <w:t>[A]</w:t>
            </w:r>
          </w:p>
        </w:tc>
      </w:tr>
      <w:tr>
        <w:tc>
          <w:tcPr>
            <w:tcW w:type="dxa" w:w="4320"/>
          </w:tcPr>
          <w:p>
            <w:pPr>
              <w:spacing w:before="20" w:after="20"/>
            </w:pPr>
            <w:r>
              <w:rPr>
                <w:rFonts w:ascii="SimSun" w:hAnsi="SimSun" w:eastAsia="SimSun"/>
                <w:b/>
                <w:sz w:val="17"/>
              </w:rPr>
              <w:t>对应实验</w:t>
            </w:r>
          </w:p>
        </w:tc>
        <w:tc>
          <w:tcPr>
            <w:tcW w:type="dxa" w:w="4320"/>
          </w:tcPr>
          <w:p>
            <w:pPr>
              <w:spacing w:before="20" w:after="20"/>
            </w:pPr>
            <w:r>
              <w:rPr>
                <w:rFonts w:ascii="SimSun" w:hAnsi="SimSun" w:eastAsia="SimSun"/>
                <w:sz w:val="17"/>
              </w:rPr>
              <w:t>合成场站基准</w:t>
            </w:r>
          </w:p>
        </w:tc>
      </w:tr>
      <w:tr>
        <w:tc>
          <w:tcPr>
            <w:tcW w:type="dxa" w:w="4320"/>
          </w:tcPr>
          <w:p>
            <w:pPr>
              <w:spacing w:before="20" w:after="20"/>
            </w:pPr>
            <w:r>
              <w:rPr>
                <w:rFonts w:ascii="SimSun" w:hAnsi="SimSun" w:eastAsia="SimSun"/>
                <w:b/>
                <w:sz w:val="17"/>
              </w:rPr>
              <w:t>样本规模</w:t>
            </w:r>
          </w:p>
        </w:tc>
        <w:tc>
          <w:tcPr>
            <w:tcW w:type="dxa" w:w="4320"/>
          </w:tcPr>
          <w:p>
            <w:pPr>
              <w:spacing w:before="20" w:after="20"/>
            </w:pPr>
            <w:r>
              <w:rPr>
                <w:rFonts w:ascii="SimSun" w:hAnsi="SimSun" w:eastAsia="SimSun"/>
                <w:sz w:val="17"/>
              </w:rPr>
              <w:t>3 类场景 × 8 个随机种子 × 6 种方法 = 144 次运行，24 组配对</w:t>
            </w:r>
          </w:p>
        </w:tc>
      </w:tr>
      <w:tr>
        <w:tc>
          <w:tcPr>
            <w:tcW w:type="dxa" w:w="4320"/>
          </w:tcPr>
          <w:p>
            <w:pPr>
              <w:spacing w:before="20" w:after="20"/>
            </w:pPr>
            <w:r>
              <w:rPr>
                <w:rFonts w:ascii="SimSun" w:hAnsi="SimSun" w:eastAsia="SimSun"/>
                <w:b/>
                <w:sz w:val="17"/>
              </w:rPr>
              <w:t>具体数值</w:t>
            </w:r>
          </w:p>
        </w:tc>
        <w:tc>
          <w:tcPr>
            <w:tcW w:type="dxa" w:w="4320"/>
          </w:tcPr>
          <w:p>
            <w:pPr>
              <w:spacing w:before="20" w:after="20"/>
            </w:pPr>
            <w:r>
              <w:rPr>
                <w:rFonts w:ascii="SimSun" w:hAnsi="SimSun" w:eastAsia="SimSun"/>
                <w:sz w:val="17"/>
              </w:rPr>
              <w:t>本方案 0.970 / 0.929 / 0.931（缺口加权恢复率／构件等权恢复率／关键构件召回）。Holm 校正后 p：vs 随机 0.0010、vs 最大离散度启发式 0.0060、vs 离线设计模型覆盖规划 0.0088、vs 在先方案 0.0010、vs 仅遮挡与量程感知 0.0010</w:t>
            </w:r>
          </w:p>
        </w:tc>
      </w:tr>
      <w:tr>
        <w:tc>
          <w:tcPr>
            <w:tcW w:type="dxa" w:w="4320"/>
          </w:tcPr>
          <w:p>
            <w:pPr>
              <w:spacing w:before="20" w:after="20"/>
            </w:pPr>
            <w:r>
              <w:rPr>
                <w:rFonts w:ascii="SimSun" w:hAnsi="SimSun" w:eastAsia="SimSun"/>
                <w:b/>
                <w:sz w:val="17"/>
              </w:rPr>
              <w:t>可以支持的表述</w:t>
            </w:r>
          </w:p>
        </w:tc>
        <w:tc>
          <w:tcPr>
            <w:tcW w:type="dxa" w:w="4320"/>
          </w:tcPr>
          <w:p>
            <w:pPr>
              <w:spacing w:before="20" w:after="20"/>
            </w:pPr>
            <w:r>
              <w:rPr>
                <w:rFonts w:ascii="SimSun" w:hAnsi="SimSun" w:eastAsia="SimSun"/>
                <w:sz w:val="17"/>
              </w:rPr>
              <w:t>"在缺口加权恢复率上相对全部五条基线的优势经多重比较校正后显著"</w:t>
            </w:r>
          </w:p>
        </w:tc>
      </w:tr>
      <w:tr>
        <w:tc>
          <w:tcPr>
            <w:tcW w:type="dxa" w:w="4320"/>
          </w:tcPr>
          <w:p>
            <w:pPr>
              <w:spacing w:before="20" w:after="20"/>
            </w:pPr>
            <w:r>
              <w:rPr>
                <w:rFonts w:ascii="SimSun" w:hAnsi="SimSun" w:eastAsia="SimSun"/>
                <w:b/>
                <w:sz w:val="17"/>
              </w:rPr>
              <w:t>明确禁止的表述</w:t>
            </w:r>
          </w:p>
        </w:tc>
        <w:tc>
          <w:tcPr>
            <w:tcW w:type="dxa" w:w="4320"/>
          </w:tcPr>
          <w:p>
            <w:pPr>
              <w:spacing w:before="20" w:after="20"/>
            </w:pPr>
            <w:r>
              <w:rPr>
                <w:rFonts w:ascii="SimSun" w:hAnsi="SimSun" w:eastAsia="SimSun"/>
                <w:sz w:val="17"/>
              </w:rPr>
              <w:t>❌"在构件等权恢复率上全面优于基线"——相对最大离散度启发式、离线覆盖规划、仅遮挡与量程感知三条，构件等权恢复率的校正后 p 均为 0.1299，</w:t>
            </w:r>
            <w:r>
              <w:rPr>
                <w:rFonts w:ascii="SimSun" w:hAnsi="SimSun" w:eastAsia="SimSun"/>
                <w:b/>
                <w:sz w:val="17"/>
              </w:rPr>
              <w:t>未达显著</w:t>
            </w:r>
            <w:r>
              <w:rPr>
                <w:rFonts w:ascii="SimSun" w:hAnsi="SimSun" w:eastAsia="SimSun"/>
                <w:sz w:val="17"/>
              </w:rPr>
              <w:t>，须一并写明</w:t>
            </w:r>
          </w:p>
        </w:tc>
      </w:tr>
    </w:tbl>
    <w:p/>
    <w:p>
      <w:pPr>
        <w:pStyle w:val="Heading3"/>
        <w:spacing w:before="120" w:after="80"/>
      </w:pPr>
      <w:r>
        <w:rPr>
          <w:rFonts w:ascii="SimHei" w:hAnsi="SimHei" w:eastAsia="SimHei"/>
          <w:color w:val="000000"/>
          <w:sz w:val="24"/>
        </w:rPr>
        <w:t>1.4 跨场景规模与密度的稳定性</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before="20" w:after="20"/>
            </w:pPr>
            <w:r>
              <w:rPr>
                <w:rFonts w:ascii="SimSun" w:hAnsi="SimSun" w:eastAsia="SimSun"/>
                <w:b/>
                <w:sz w:val="17"/>
              </w:rPr>
              <w:t>项</w:t>
            </w:r>
          </w:p>
        </w:tc>
        <w:tc>
          <w:tcPr>
            <w:tcW w:type="dxa" w:w="4320"/>
          </w:tcPr>
          <w:p>
            <w:pPr>
              <w:spacing w:before="20" w:after="20"/>
            </w:pPr>
            <w:r>
              <w:rPr>
                <w:rFonts w:ascii="SimSun" w:hAnsi="SimSun" w:eastAsia="SimSun"/>
                <w:b/>
                <w:sz w:val="17"/>
              </w:rPr>
              <w:t>内容</w:t>
            </w:r>
          </w:p>
        </w:tc>
      </w:tr>
      <w:tr>
        <w:tc>
          <w:tcPr>
            <w:tcW w:type="dxa" w:w="4320"/>
          </w:tcPr>
          <w:p>
            <w:pPr>
              <w:spacing w:before="20" w:after="20"/>
            </w:pPr>
            <w:r>
              <w:rPr>
                <w:rFonts w:ascii="SimSun" w:hAnsi="SimSun" w:eastAsia="SimSun"/>
                <w:b/>
                <w:sz w:val="17"/>
              </w:rPr>
              <w:t>主张</w:t>
            </w:r>
          </w:p>
        </w:tc>
        <w:tc>
          <w:tcPr>
            <w:tcW w:type="dxa" w:w="4320"/>
          </w:tcPr>
          <w:p>
            <w:pPr>
              <w:spacing w:before="20" w:after="20"/>
            </w:pPr>
            <w:r>
              <w:rPr>
                <w:rFonts w:ascii="SimSun" w:hAnsi="SimSun" w:eastAsia="SimSun"/>
                <w:sz w:val="17"/>
              </w:rPr>
              <w:t>本方案在 9 类场景上的平均缺口加权恢复率最高，同时变异系数最低</w:t>
            </w:r>
          </w:p>
        </w:tc>
      </w:tr>
      <w:tr>
        <w:tc>
          <w:tcPr>
            <w:tcW w:type="dxa" w:w="4320"/>
          </w:tcPr>
          <w:p>
            <w:pPr>
              <w:spacing w:before="20" w:after="20"/>
            </w:pPr>
            <w:r>
              <w:rPr>
                <w:rFonts w:ascii="SimSun" w:hAnsi="SimSun" w:eastAsia="SimSun"/>
                <w:b/>
                <w:sz w:val="17"/>
              </w:rPr>
              <w:t>证据等级</w:t>
            </w:r>
          </w:p>
        </w:tc>
        <w:tc>
          <w:tcPr>
            <w:tcW w:type="dxa" w:w="4320"/>
          </w:tcPr>
          <w:p>
            <w:pPr>
              <w:spacing w:before="20" w:after="20"/>
            </w:pPr>
            <w:r>
              <w:rPr>
                <w:rFonts w:ascii="SimSun" w:hAnsi="SimSun" w:eastAsia="SimSun"/>
                <w:b/>
                <w:sz w:val="17"/>
              </w:rPr>
              <w:t>[A]</w:t>
            </w:r>
          </w:p>
        </w:tc>
      </w:tr>
      <w:tr>
        <w:tc>
          <w:tcPr>
            <w:tcW w:type="dxa" w:w="4320"/>
          </w:tcPr>
          <w:p>
            <w:pPr>
              <w:spacing w:before="20" w:after="20"/>
            </w:pPr>
            <w:r>
              <w:rPr>
                <w:rFonts w:ascii="SimSun" w:hAnsi="SimSun" w:eastAsia="SimSun"/>
                <w:b/>
                <w:sz w:val="17"/>
              </w:rPr>
              <w:t>对应实验</w:t>
            </w:r>
          </w:p>
        </w:tc>
        <w:tc>
          <w:tcPr>
            <w:tcW w:type="dxa" w:w="4320"/>
          </w:tcPr>
          <w:p>
            <w:pPr>
              <w:spacing w:before="20" w:after="20"/>
            </w:pPr>
            <w:r>
              <w:rPr>
                <w:rFonts w:ascii="SimSun" w:hAnsi="SimSun" w:eastAsia="SimSun"/>
                <w:sz w:val="17"/>
              </w:rPr>
              <w:t>跨规模／密度稳定性实验；预算按每固定数量的建模构件给一站</w:t>
            </w:r>
          </w:p>
        </w:tc>
      </w:tr>
      <w:tr>
        <w:tc>
          <w:tcPr>
            <w:tcW w:type="dxa" w:w="4320"/>
          </w:tcPr>
          <w:p>
            <w:pPr>
              <w:spacing w:before="20" w:after="20"/>
            </w:pPr>
            <w:r>
              <w:rPr>
                <w:rFonts w:ascii="SimSun" w:hAnsi="SimSun" w:eastAsia="SimSun"/>
                <w:b/>
                <w:sz w:val="17"/>
              </w:rPr>
              <w:t>样本规模</w:t>
            </w:r>
          </w:p>
        </w:tc>
        <w:tc>
          <w:tcPr>
            <w:tcW w:type="dxa" w:w="4320"/>
          </w:tcPr>
          <w:p>
            <w:pPr>
              <w:spacing w:before="20" w:after="20"/>
            </w:pPr>
            <w:r>
              <w:rPr>
                <w:rFonts w:ascii="SimSun" w:hAnsi="SimSun" w:eastAsia="SimSun"/>
                <w:sz w:val="17"/>
              </w:rPr>
              <w:t>3 种规模 × 3 种密度 × 3 个随机种子 × 4 种方法 = 108 次运行</w:t>
            </w:r>
          </w:p>
        </w:tc>
      </w:tr>
      <w:tr>
        <w:tc>
          <w:tcPr>
            <w:tcW w:type="dxa" w:w="4320"/>
          </w:tcPr>
          <w:p>
            <w:pPr>
              <w:spacing w:before="20" w:after="20"/>
            </w:pPr>
            <w:r>
              <w:rPr>
                <w:rFonts w:ascii="SimSun" w:hAnsi="SimSun" w:eastAsia="SimSun"/>
                <w:b/>
                <w:sz w:val="17"/>
              </w:rPr>
              <w:t>具体数值</w:t>
            </w:r>
          </w:p>
        </w:tc>
        <w:tc>
          <w:tcPr>
            <w:tcW w:type="dxa" w:w="4320"/>
          </w:tcPr>
          <w:p>
            <w:pPr>
              <w:spacing w:before="20" w:after="20"/>
            </w:pPr>
            <w:r>
              <w:rPr>
                <w:rFonts w:ascii="SimSun" w:hAnsi="SimSun" w:eastAsia="SimSun"/>
                <w:sz w:val="17"/>
              </w:rPr>
              <w:t>本方案均值 0.974 / 变异系数 0.020 / 最差 L-low 0.935；仅遮挡与量程感知 0.966 / 0.022 / 0.933；离线覆盖规划 0.964 / 0.030 / 0.892；最大离散度启发式 0.904 / 0.071 / 0.807。逐规模相对最大离散度启发式：中等规模 +0.116（p=0.0234）、大规模 +0.082（p=0.0234）、小规模 +0.010（p=0.0781，未达显著）</w:t>
            </w:r>
          </w:p>
        </w:tc>
      </w:tr>
      <w:tr>
        <w:tc>
          <w:tcPr>
            <w:tcW w:type="dxa" w:w="4320"/>
          </w:tcPr>
          <w:p>
            <w:pPr>
              <w:spacing w:before="20" w:after="20"/>
            </w:pPr>
            <w:r>
              <w:rPr>
                <w:rFonts w:ascii="SimSun" w:hAnsi="SimSun" w:eastAsia="SimSun"/>
                <w:b/>
                <w:sz w:val="17"/>
              </w:rPr>
              <w:t>可以支持的表述</w:t>
            </w:r>
          </w:p>
        </w:tc>
        <w:tc>
          <w:tcPr>
            <w:tcW w:type="dxa" w:w="4320"/>
          </w:tcPr>
          <w:p>
            <w:pPr>
              <w:spacing w:before="20" w:after="20"/>
            </w:pPr>
            <w:r>
              <w:rPr>
                <w:rFonts w:ascii="SimSun" w:hAnsi="SimSun" w:eastAsia="SimSun"/>
                <w:sz w:val="17"/>
              </w:rPr>
              <w:t>"平均值最高且变异系数最低，表现出更好的跨场景稳定性"；"在中等与大规模场景上的优势达统计显著"</w:t>
            </w:r>
          </w:p>
        </w:tc>
      </w:tr>
      <w:tr>
        <w:tc>
          <w:tcPr>
            <w:tcW w:type="dxa" w:w="4320"/>
          </w:tcPr>
          <w:p>
            <w:pPr>
              <w:spacing w:before="20" w:after="20"/>
            </w:pPr>
            <w:r>
              <w:rPr>
                <w:rFonts w:ascii="SimSun" w:hAnsi="SimSun" w:eastAsia="SimSun"/>
                <w:b/>
                <w:sz w:val="17"/>
              </w:rPr>
              <w:t>明确禁止的表述</w:t>
            </w:r>
          </w:p>
        </w:tc>
        <w:tc>
          <w:tcPr>
            <w:tcW w:type="dxa" w:w="4320"/>
          </w:tcPr>
          <w:p>
            <w:pPr>
              <w:spacing w:before="20" w:after="20"/>
            </w:pPr>
            <w:r>
              <w:rPr>
                <w:rFonts w:ascii="SimSun" w:hAnsi="SimSun" w:eastAsia="SimSun"/>
                <w:sz w:val="17"/>
              </w:rPr>
              <w:t>❌"具有绝对鲁棒性"；❌"普遍适用于任意场景"；❌ 在小规模场景上声称显著优势</w:t>
            </w:r>
          </w:p>
        </w:tc>
      </w:tr>
    </w:tbl>
    <w:p/>
    <w:p>
      <w:pPr>
        <w:pStyle w:val="Heading3"/>
        <w:spacing w:before="120" w:after="80"/>
      </w:pPr>
      <w:r>
        <w:rPr>
          <w:rFonts w:ascii="SimHei" w:hAnsi="SimHei" w:eastAsia="SimHei"/>
          <w:color w:val="000000"/>
          <w:sz w:val="24"/>
        </w:rPr>
        <w:t>1.5 预算内可达回退避免零结果输出</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before="20" w:after="20"/>
            </w:pPr>
            <w:r>
              <w:rPr>
                <w:rFonts w:ascii="SimSun" w:hAnsi="SimSun" w:eastAsia="SimSun"/>
                <w:b/>
                <w:sz w:val="17"/>
              </w:rPr>
              <w:t>项</w:t>
            </w:r>
          </w:p>
        </w:tc>
        <w:tc>
          <w:tcPr>
            <w:tcW w:type="dxa" w:w="4320"/>
          </w:tcPr>
          <w:p>
            <w:pPr>
              <w:spacing w:before="20" w:after="20"/>
            </w:pPr>
            <w:r>
              <w:rPr>
                <w:rFonts w:ascii="SimSun" w:hAnsi="SimSun" w:eastAsia="SimSun"/>
                <w:b/>
                <w:sz w:val="17"/>
              </w:rPr>
              <w:t>内容</w:t>
            </w:r>
          </w:p>
        </w:tc>
      </w:tr>
      <w:tr>
        <w:tc>
          <w:tcPr>
            <w:tcW w:type="dxa" w:w="4320"/>
          </w:tcPr>
          <w:p>
            <w:pPr>
              <w:spacing w:before="20" w:after="20"/>
            </w:pPr>
            <w:r>
              <w:rPr>
                <w:rFonts w:ascii="SimSun" w:hAnsi="SimSun" w:eastAsia="SimSun"/>
                <w:b/>
                <w:sz w:val="17"/>
              </w:rPr>
              <w:t>主张</w:t>
            </w:r>
          </w:p>
        </w:tc>
        <w:tc>
          <w:tcPr>
            <w:tcW w:type="dxa" w:w="4320"/>
          </w:tcPr>
          <w:p>
            <w:pPr>
              <w:spacing w:before="20" w:after="20"/>
            </w:pPr>
            <w:r>
              <w:rPr>
                <w:rFonts w:ascii="SimSun" w:hAnsi="SimSun" w:eastAsia="SimSun"/>
                <w:sz w:val="17"/>
              </w:rPr>
              <w:t>恢复率随预算单调下降，而非在紧预算下崩溃为零</w:t>
            </w:r>
          </w:p>
        </w:tc>
      </w:tr>
      <w:tr>
        <w:tc>
          <w:tcPr>
            <w:tcW w:type="dxa" w:w="4320"/>
          </w:tcPr>
          <w:p>
            <w:pPr>
              <w:spacing w:before="20" w:after="20"/>
            </w:pPr>
            <w:r>
              <w:rPr>
                <w:rFonts w:ascii="SimSun" w:hAnsi="SimSun" w:eastAsia="SimSun"/>
                <w:b/>
                <w:sz w:val="17"/>
              </w:rPr>
              <w:t>证据等级</w:t>
            </w:r>
          </w:p>
        </w:tc>
        <w:tc>
          <w:tcPr>
            <w:tcW w:type="dxa" w:w="4320"/>
          </w:tcPr>
          <w:p>
            <w:pPr>
              <w:spacing w:before="20" w:after="20"/>
            </w:pPr>
            <w:r>
              <w:rPr>
                <w:rFonts w:ascii="SimSun" w:hAnsi="SimSun" w:eastAsia="SimSun"/>
                <w:b/>
                <w:sz w:val="17"/>
              </w:rPr>
              <w:t>[A]</w:t>
            </w:r>
          </w:p>
        </w:tc>
      </w:tr>
      <w:tr>
        <w:tc>
          <w:tcPr>
            <w:tcW w:type="dxa" w:w="4320"/>
          </w:tcPr>
          <w:p>
            <w:pPr>
              <w:spacing w:before="20" w:after="20"/>
            </w:pPr>
            <w:r>
              <w:rPr>
                <w:rFonts w:ascii="SimSun" w:hAnsi="SimSun" w:eastAsia="SimSun"/>
                <w:b/>
                <w:sz w:val="17"/>
              </w:rPr>
              <w:t>对应实验</w:t>
            </w:r>
          </w:p>
        </w:tc>
        <w:tc>
          <w:tcPr>
            <w:tcW w:type="dxa" w:w="4320"/>
          </w:tcPr>
          <w:p>
            <w:pPr>
              <w:spacing w:before="20" w:after="20"/>
            </w:pPr>
            <w:r>
              <w:rPr>
                <w:rFonts w:ascii="SimSun" w:hAnsi="SimSun" w:eastAsia="SimSun"/>
                <w:sz w:val="17"/>
              </w:rPr>
              <w:t>预算退化回归测试</w:t>
            </w:r>
          </w:p>
        </w:tc>
      </w:tr>
      <w:tr>
        <w:tc>
          <w:tcPr>
            <w:tcW w:type="dxa" w:w="4320"/>
          </w:tcPr>
          <w:p>
            <w:pPr>
              <w:spacing w:before="20" w:after="20"/>
            </w:pPr>
            <w:r>
              <w:rPr>
                <w:rFonts w:ascii="SimSun" w:hAnsi="SimSun" w:eastAsia="SimSun"/>
                <w:b/>
                <w:sz w:val="17"/>
              </w:rPr>
              <w:t>样本规模</w:t>
            </w:r>
          </w:p>
        </w:tc>
        <w:tc>
          <w:tcPr>
            <w:tcW w:type="dxa" w:w="4320"/>
          </w:tcPr>
          <w:p>
            <w:pPr>
              <w:spacing w:before="20" w:after="20"/>
            </w:pPr>
            <w:r>
              <w:rPr>
                <w:rFonts w:ascii="SimSun" w:hAnsi="SimSun" w:eastAsia="SimSun"/>
                <w:sz w:val="17"/>
              </w:rPr>
              <w:t>单场景 4 个预算档</w:t>
            </w:r>
          </w:p>
        </w:tc>
      </w:tr>
      <w:tr>
        <w:tc>
          <w:tcPr>
            <w:tcW w:type="dxa" w:w="4320"/>
          </w:tcPr>
          <w:p>
            <w:pPr>
              <w:spacing w:before="20" w:after="20"/>
            </w:pPr>
            <w:r>
              <w:rPr>
                <w:rFonts w:ascii="SimSun" w:hAnsi="SimSun" w:eastAsia="SimSun"/>
                <w:b/>
                <w:sz w:val="17"/>
              </w:rPr>
              <w:t>具体数值</w:t>
            </w:r>
          </w:p>
        </w:tc>
        <w:tc>
          <w:tcPr>
            <w:tcW w:type="dxa" w:w="4320"/>
          </w:tcPr>
          <w:p>
            <w:pPr>
              <w:spacing w:before="20" w:after="20"/>
            </w:pPr>
            <w:r>
              <w:rPr>
                <w:rFonts w:ascii="SimSun" w:hAnsi="SimSun" w:eastAsia="SimSun"/>
                <w:b/>
                <w:sz w:val="17"/>
              </w:rPr>
              <w:t>可通行路径代价预算</w:t>
            </w:r>
            <w:r>
              <w:rPr>
                <w:rFonts w:ascii="SimSun" w:hAnsi="SimSun" w:eastAsia="SimSun"/>
                <w:sz w:val="17"/>
              </w:rPr>
              <w:t>（只计移动路径）400 m / 60 m / 25 m → 6 站（0.988）／3 站（0.817）／1 站（0.638）；未设回退时 25 m 预算下 0 站、恢复率 0.000，而彼时预算内可达候选 202 个</w:t>
            </w:r>
          </w:p>
        </w:tc>
      </w:tr>
      <w:tr>
        <w:tc>
          <w:tcPr>
            <w:tcW w:type="dxa" w:w="4320"/>
          </w:tcPr>
          <w:p>
            <w:pPr>
              <w:spacing w:before="20" w:after="20"/>
            </w:pPr>
            <w:r>
              <w:rPr>
                <w:rFonts w:ascii="SimSun" w:hAnsi="SimSun" w:eastAsia="SimSun"/>
                <w:b/>
                <w:sz w:val="17"/>
              </w:rPr>
              <w:t>预算口径核对</w:t>
            </w:r>
          </w:p>
        </w:tc>
        <w:tc>
          <w:tcPr>
            <w:tcW w:type="dxa" w:w="4320"/>
          </w:tcPr>
          <w:p>
            <w:pPr>
              <w:spacing w:before="20" w:after="20"/>
            </w:pPr>
            <w:r>
              <w:rPr>
                <w:rFonts w:ascii="SimSun" w:hAnsi="SimSun" w:eastAsia="SimSun"/>
                <w:sz w:val="17"/>
              </w:rPr>
              <w:t>已核对代码：episode 预算变量只累加各轮的可通行路径代价，判据为"累计路径代价 ≥ 预算"。单站作业耗时折算的等效路径代价（180 s × 0.5 m/s = 90 m）</w:t>
            </w:r>
            <w:r>
              <w:rPr>
                <w:rFonts w:ascii="SimSun" w:hAnsi="SimSun" w:eastAsia="SimSun"/>
                <w:b/>
                <w:sz w:val="17"/>
              </w:rPr>
              <w:t>只</w:t>
            </w:r>
            <w:r>
              <w:rPr>
                <w:rFonts w:ascii="SimSun" w:hAnsi="SimSun" w:eastAsia="SimSun"/>
                <w:sz w:val="17"/>
              </w:rPr>
              <w:t>进入站位选择时的候选等效成本比值，不进入 episode 预算。</w:t>
            </w:r>
            <w:r>
              <w:rPr>
                <w:rFonts w:ascii="SimSun" w:hAnsi="SimSun" w:eastAsia="SimSun"/>
                <w:b/>
                <w:sz w:val="17"/>
              </w:rPr>
              <w:t>故 25 m 预算执行 1 站与说明书自洽</w:t>
            </w:r>
          </w:p>
        </w:tc>
      </w:tr>
      <w:tr>
        <w:tc>
          <w:tcPr>
            <w:tcW w:type="dxa" w:w="4320"/>
          </w:tcPr>
          <w:p>
            <w:pPr>
              <w:spacing w:before="20" w:after="20"/>
            </w:pPr>
            <w:r>
              <w:rPr>
                <w:rFonts w:ascii="SimSun" w:hAnsi="SimSun" w:eastAsia="SimSun"/>
                <w:b/>
                <w:sz w:val="17"/>
              </w:rPr>
              <w:t>可以支持的表述</w:t>
            </w:r>
          </w:p>
        </w:tc>
        <w:tc>
          <w:tcPr>
            <w:tcW w:type="dxa" w:w="4320"/>
          </w:tcPr>
          <w:p>
            <w:pPr>
              <w:spacing w:before="20" w:after="20"/>
            </w:pPr>
            <w:r>
              <w:rPr>
                <w:rFonts w:ascii="SimSun" w:hAnsi="SimSun" w:eastAsia="SimSun"/>
                <w:sz w:val="17"/>
              </w:rPr>
              <w:t>上述全部</w:t>
            </w:r>
          </w:p>
        </w:tc>
      </w:tr>
      <w:tr>
        <w:tc>
          <w:tcPr>
            <w:tcW w:type="dxa" w:w="4320"/>
          </w:tcPr>
          <w:p>
            <w:pPr>
              <w:spacing w:before="20" w:after="20"/>
            </w:pPr>
            <w:r>
              <w:rPr>
                <w:rFonts w:ascii="SimSun" w:hAnsi="SimSun" w:eastAsia="SimSun"/>
                <w:b/>
                <w:sz w:val="17"/>
              </w:rPr>
              <w:t>明确禁止的表述</w:t>
            </w:r>
          </w:p>
        </w:tc>
        <w:tc>
          <w:tcPr>
            <w:tcW w:type="dxa" w:w="4320"/>
          </w:tcPr>
          <w:p>
            <w:pPr>
              <w:spacing w:before="20" w:after="20"/>
            </w:pPr>
            <w:r>
              <w:rPr>
                <w:rFonts w:ascii="SimSun" w:hAnsi="SimSun" w:eastAsia="SimSun"/>
                <w:sz w:val="17"/>
              </w:rPr>
              <w:t>❌ 由单场景推广为"在任意场景下均单调"；❌ 把预算表述为"包含作业时间的总预算"——它只计移动路径</w:t>
            </w:r>
          </w:p>
        </w:tc>
      </w:tr>
    </w:tbl>
    <w:p/>
    <w:p>
      <w:pPr>
        <w:pStyle w:val="Heading3"/>
        <w:spacing w:before="120" w:after="80"/>
      </w:pPr>
      <w:r>
        <w:rPr>
          <w:rFonts w:ascii="SimHei" w:hAnsi="SimHei" w:eastAsia="SimHei"/>
          <w:color w:val="000000"/>
          <w:sz w:val="24"/>
        </w:rPr>
        <w:t>1.6 目标分块按构件分组保证候选覆盖</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before="20" w:after="20"/>
            </w:pPr>
            <w:r>
              <w:rPr>
                <w:rFonts w:ascii="SimSun" w:hAnsi="SimSun" w:eastAsia="SimSun"/>
                <w:b/>
                <w:sz w:val="17"/>
              </w:rPr>
              <w:t>项</w:t>
            </w:r>
          </w:p>
        </w:tc>
        <w:tc>
          <w:tcPr>
            <w:tcW w:type="dxa" w:w="4320"/>
          </w:tcPr>
          <w:p>
            <w:pPr>
              <w:spacing w:before="20" w:after="20"/>
            </w:pPr>
            <w:r>
              <w:rPr>
                <w:rFonts w:ascii="SimSun" w:hAnsi="SimSun" w:eastAsia="SimSun"/>
                <w:b/>
                <w:sz w:val="17"/>
              </w:rPr>
              <w:t>内容</w:t>
            </w:r>
          </w:p>
        </w:tc>
      </w:tr>
      <w:tr>
        <w:tc>
          <w:tcPr>
            <w:tcW w:type="dxa" w:w="4320"/>
          </w:tcPr>
          <w:p>
            <w:pPr>
              <w:spacing w:before="20" w:after="20"/>
            </w:pPr>
            <w:r>
              <w:rPr>
                <w:rFonts w:ascii="SimSun" w:hAnsi="SimSun" w:eastAsia="SimSun"/>
                <w:b/>
                <w:sz w:val="17"/>
              </w:rPr>
              <w:t>主张</w:t>
            </w:r>
          </w:p>
        </w:tc>
        <w:tc>
          <w:tcPr>
            <w:tcW w:type="dxa" w:w="4320"/>
          </w:tcPr>
          <w:p>
            <w:pPr>
              <w:spacing w:before="20" w:after="20"/>
            </w:pPr>
            <w:r>
              <w:rPr>
                <w:rFonts w:ascii="SimSun" w:hAnsi="SimSun" w:eastAsia="SimSun"/>
                <w:sz w:val="17"/>
              </w:rPr>
              <w:t>四类小尺寸构件的候选覆盖率由 0 提升至 100%</w:t>
            </w:r>
          </w:p>
        </w:tc>
      </w:tr>
      <w:tr>
        <w:tc>
          <w:tcPr>
            <w:tcW w:type="dxa" w:w="4320"/>
          </w:tcPr>
          <w:p>
            <w:pPr>
              <w:spacing w:before="20" w:after="20"/>
            </w:pPr>
            <w:r>
              <w:rPr>
                <w:rFonts w:ascii="SimSun" w:hAnsi="SimSun" w:eastAsia="SimSun"/>
                <w:b/>
                <w:sz w:val="17"/>
              </w:rPr>
              <w:t>证据等级</w:t>
            </w:r>
          </w:p>
        </w:tc>
        <w:tc>
          <w:tcPr>
            <w:tcW w:type="dxa" w:w="4320"/>
          </w:tcPr>
          <w:p>
            <w:pPr>
              <w:spacing w:before="20" w:after="20"/>
            </w:pPr>
            <w:r>
              <w:rPr>
                <w:rFonts w:ascii="SimSun" w:hAnsi="SimSun" w:eastAsia="SimSun"/>
                <w:b/>
                <w:sz w:val="17"/>
              </w:rPr>
              <w:t>[A]</w:t>
            </w:r>
          </w:p>
        </w:tc>
      </w:tr>
      <w:tr>
        <w:tc>
          <w:tcPr>
            <w:tcW w:type="dxa" w:w="4320"/>
          </w:tcPr>
          <w:p>
            <w:pPr>
              <w:spacing w:before="20" w:after="20"/>
            </w:pPr>
            <w:r>
              <w:rPr>
                <w:rFonts w:ascii="SimSun" w:hAnsi="SimSun" w:eastAsia="SimSun"/>
                <w:b/>
                <w:sz w:val="17"/>
              </w:rPr>
              <w:t>对应实验</w:t>
            </w:r>
          </w:p>
        </w:tc>
        <w:tc>
          <w:tcPr>
            <w:tcW w:type="dxa" w:w="4320"/>
          </w:tcPr>
          <w:p>
            <w:pPr>
              <w:spacing w:before="20" w:after="20"/>
            </w:pPr>
            <w:r>
              <w:rPr>
                <w:rFonts w:ascii="SimSun" w:hAnsi="SimSun" w:eastAsia="SimSun"/>
                <w:sz w:val="17"/>
              </w:rPr>
              <w:t>目标集覆盖回归测试</w:t>
            </w:r>
          </w:p>
        </w:tc>
      </w:tr>
      <w:tr>
        <w:tc>
          <w:tcPr>
            <w:tcW w:type="dxa" w:w="4320"/>
          </w:tcPr>
          <w:p>
            <w:pPr>
              <w:spacing w:before="20" w:after="20"/>
            </w:pPr>
            <w:r>
              <w:rPr>
                <w:rFonts w:ascii="SimSun" w:hAnsi="SimSun" w:eastAsia="SimSun"/>
                <w:b/>
                <w:sz w:val="17"/>
              </w:rPr>
              <w:t>样本规模</w:t>
            </w:r>
          </w:p>
        </w:tc>
        <w:tc>
          <w:tcPr>
            <w:tcW w:type="dxa" w:w="4320"/>
          </w:tcPr>
          <w:p>
            <w:pPr>
              <w:spacing w:before="20" w:after="20"/>
            </w:pPr>
            <w:r>
              <w:rPr>
                <w:rFonts w:ascii="SimSun" w:hAnsi="SimSun" w:eastAsia="SimSun"/>
                <w:sz w:val="17"/>
              </w:rPr>
              <w:t>最小与最大两类场景</w:t>
            </w:r>
          </w:p>
        </w:tc>
      </w:tr>
      <w:tr>
        <w:tc>
          <w:tcPr>
            <w:tcW w:type="dxa" w:w="4320"/>
          </w:tcPr>
          <w:p>
            <w:pPr>
              <w:spacing w:before="20" w:after="20"/>
            </w:pPr>
            <w:r>
              <w:rPr>
                <w:rFonts w:ascii="SimSun" w:hAnsi="SimSun" w:eastAsia="SimSun"/>
                <w:b/>
                <w:sz w:val="17"/>
              </w:rPr>
              <w:t>具体数值</w:t>
            </w:r>
          </w:p>
        </w:tc>
        <w:tc>
          <w:tcPr>
            <w:tcW w:type="dxa" w:w="4320"/>
          </w:tcPr>
          <w:p>
            <w:pPr>
              <w:spacing w:before="20" w:after="20"/>
            </w:pPr>
            <w:r>
              <w:rPr>
                <w:rFonts w:ascii="SimSun" w:hAnsi="SimSun" w:eastAsia="SimSun"/>
                <w:sz w:val="17"/>
              </w:rPr>
              <w:t>固定条数截断时：最小场景 隔离开关 0/144、互感器 0/72、避雷器 0/72、绝缘子 0/20；最大场景 0/576、0/288、0/288、0/40。分组后全部构件与全部类别 100%</w:t>
            </w:r>
          </w:p>
        </w:tc>
      </w:tr>
      <w:tr>
        <w:tc>
          <w:tcPr>
            <w:tcW w:type="dxa" w:w="4320"/>
          </w:tcPr>
          <w:p>
            <w:pPr>
              <w:spacing w:before="20" w:after="20"/>
            </w:pPr>
            <w:r>
              <w:rPr>
                <w:rFonts w:ascii="SimSun" w:hAnsi="SimSun" w:eastAsia="SimSun"/>
                <w:b/>
                <w:sz w:val="17"/>
              </w:rPr>
              <w:t>可以支持的表述</w:t>
            </w:r>
          </w:p>
        </w:tc>
        <w:tc>
          <w:tcPr>
            <w:tcW w:type="dxa" w:w="4320"/>
          </w:tcPr>
          <w:p>
            <w:pPr>
              <w:spacing w:before="20" w:after="20"/>
            </w:pPr>
            <w:r>
              <w:rPr>
                <w:rFonts w:ascii="SimSun" w:hAnsi="SimSun" w:eastAsia="SimSun"/>
                <w:sz w:val="17"/>
              </w:rPr>
              <w:t>上述全部</w:t>
            </w:r>
          </w:p>
        </w:tc>
      </w:tr>
      <w:tr>
        <w:tc>
          <w:tcPr>
            <w:tcW w:type="dxa" w:w="4320"/>
          </w:tcPr>
          <w:p>
            <w:pPr>
              <w:spacing w:before="20" w:after="20"/>
            </w:pPr>
            <w:r>
              <w:rPr>
                <w:rFonts w:ascii="SimSun" w:hAnsi="SimSun" w:eastAsia="SimSun"/>
                <w:b/>
                <w:sz w:val="17"/>
              </w:rPr>
              <w:t>明确禁止的表述</w:t>
            </w:r>
          </w:p>
        </w:tc>
        <w:tc>
          <w:tcPr>
            <w:tcW w:type="dxa" w:w="4320"/>
          </w:tcPr>
          <w:p>
            <w:pPr>
              <w:spacing w:before="20" w:after="20"/>
            </w:pPr>
            <w:r>
              <w:rPr>
                <w:rFonts w:ascii="SimSun" w:hAnsi="SimSun" w:eastAsia="SimSun"/>
                <w:sz w:val="17"/>
              </w:rPr>
              <w:t>❌ 由候选覆盖率提升直接推出恢复率提升——两者是不同量</w:t>
            </w:r>
          </w:p>
        </w:tc>
      </w:tr>
    </w:tbl>
    <w:p/>
    <w:p>
      <w:pPr>
        <w:pStyle w:val="Heading3"/>
        <w:spacing w:before="120" w:after="80"/>
      </w:pPr>
      <w:r>
        <w:rPr>
          <w:rFonts w:ascii="SimHei" w:hAnsi="SimHei" w:eastAsia="SimHei"/>
          <w:color w:val="000000"/>
          <w:sz w:val="24"/>
        </w:rPr>
        <w:t>1.7 剔除失败站位邻域的候选</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before="20" w:after="20"/>
            </w:pPr>
            <w:r>
              <w:rPr>
                <w:rFonts w:ascii="SimSun" w:hAnsi="SimSun" w:eastAsia="SimSun"/>
                <w:b/>
                <w:sz w:val="17"/>
              </w:rPr>
              <w:t>项</w:t>
            </w:r>
          </w:p>
        </w:tc>
        <w:tc>
          <w:tcPr>
            <w:tcW w:type="dxa" w:w="4320"/>
          </w:tcPr>
          <w:p>
            <w:pPr>
              <w:spacing w:before="20" w:after="20"/>
            </w:pPr>
            <w:r>
              <w:rPr>
                <w:rFonts w:ascii="SimSun" w:hAnsi="SimSun" w:eastAsia="SimSun"/>
                <w:b/>
                <w:sz w:val="17"/>
              </w:rPr>
              <w:t>内容</w:t>
            </w:r>
          </w:p>
        </w:tc>
      </w:tr>
      <w:tr>
        <w:tc>
          <w:tcPr>
            <w:tcW w:type="dxa" w:w="4320"/>
          </w:tcPr>
          <w:p>
            <w:pPr>
              <w:spacing w:before="20" w:after="20"/>
            </w:pPr>
            <w:r>
              <w:rPr>
                <w:rFonts w:ascii="SimSun" w:hAnsi="SimSun" w:eastAsia="SimSun"/>
                <w:b/>
                <w:sz w:val="17"/>
              </w:rPr>
              <w:t>主张</w:t>
            </w:r>
          </w:p>
        </w:tc>
        <w:tc>
          <w:tcPr>
            <w:tcW w:type="dxa" w:w="4320"/>
          </w:tcPr>
          <w:p>
            <w:pPr>
              <w:spacing w:before="20" w:after="20"/>
            </w:pPr>
            <w:r>
              <w:rPr>
                <w:rFonts w:ascii="SimSun" w:hAnsi="SimSun" w:eastAsia="SimSun"/>
                <w:sz w:val="17"/>
              </w:rPr>
              <w:t>避免在同一位置反复选取，一站失败时恢复率由 0.000 提升至 0.876</w:t>
            </w:r>
          </w:p>
        </w:tc>
      </w:tr>
      <w:tr>
        <w:tc>
          <w:tcPr>
            <w:tcW w:type="dxa" w:w="4320"/>
          </w:tcPr>
          <w:p>
            <w:pPr>
              <w:spacing w:before="20" w:after="20"/>
            </w:pPr>
            <w:r>
              <w:rPr>
                <w:rFonts w:ascii="SimSun" w:hAnsi="SimSun" w:eastAsia="SimSun"/>
                <w:b/>
                <w:sz w:val="17"/>
              </w:rPr>
              <w:t>证据等级</w:t>
            </w:r>
          </w:p>
        </w:tc>
        <w:tc>
          <w:tcPr>
            <w:tcW w:type="dxa" w:w="4320"/>
          </w:tcPr>
          <w:p>
            <w:pPr>
              <w:spacing w:before="20" w:after="20"/>
            </w:pPr>
            <w:r>
              <w:rPr>
                <w:rFonts w:ascii="SimSun" w:hAnsi="SimSun" w:eastAsia="SimSun"/>
                <w:b/>
                <w:sz w:val="17"/>
              </w:rPr>
              <w:t>[A]</w:t>
            </w:r>
          </w:p>
        </w:tc>
      </w:tr>
      <w:tr>
        <w:tc>
          <w:tcPr>
            <w:tcW w:type="dxa" w:w="4320"/>
          </w:tcPr>
          <w:p>
            <w:pPr>
              <w:spacing w:before="20" w:after="20"/>
            </w:pPr>
            <w:r>
              <w:rPr>
                <w:rFonts w:ascii="SimSun" w:hAnsi="SimSun" w:eastAsia="SimSun"/>
                <w:b/>
                <w:sz w:val="17"/>
              </w:rPr>
              <w:t>对应实验</w:t>
            </w:r>
          </w:p>
        </w:tc>
        <w:tc>
          <w:tcPr>
            <w:tcW w:type="dxa" w:w="4320"/>
          </w:tcPr>
          <w:p>
            <w:pPr>
              <w:spacing w:before="20" w:after="20"/>
            </w:pPr>
            <w:r>
              <w:rPr>
                <w:rFonts w:ascii="SimSun" w:hAnsi="SimSun" w:eastAsia="SimSun"/>
                <w:sz w:val="17"/>
              </w:rPr>
              <w:t>配准失败控制流回归测试（注入一次失败）</w:t>
            </w:r>
          </w:p>
        </w:tc>
      </w:tr>
      <w:tr>
        <w:tc>
          <w:tcPr>
            <w:tcW w:type="dxa" w:w="4320"/>
          </w:tcPr>
          <w:p>
            <w:pPr>
              <w:spacing w:before="20" w:after="20"/>
            </w:pPr>
            <w:r>
              <w:rPr>
                <w:rFonts w:ascii="SimSun" w:hAnsi="SimSun" w:eastAsia="SimSun"/>
                <w:b/>
                <w:sz w:val="17"/>
              </w:rPr>
              <w:t>样本规模</w:t>
            </w:r>
          </w:p>
        </w:tc>
        <w:tc>
          <w:tcPr>
            <w:tcW w:type="dxa" w:w="4320"/>
          </w:tcPr>
          <w:p>
            <w:pPr>
              <w:spacing w:before="20" w:after="20"/>
            </w:pPr>
            <w:r>
              <w:rPr>
                <w:rFonts w:ascii="SimSun" w:hAnsi="SimSun" w:eastAsia="SimSun"/>
                <w:sz w:val="17"/>
              </w:rPr>
              <w:t>单场景单种子</w:t>
            </w:r>
          </w:p>
        </w:tc>
      </w:tr>
      <w:tr>
        <w:tc>
          <w:tcPr>
            <w:tcW w:type="dxa" w:w="4320"/>
          </w:tcPr>
          <w:p>
            <w:pPr>
              <w:spacing w:before="20" w:after="20"/>
            </w:pPr>
            <w:r>
              <w:rPr>
                <w:rFonts w:ascii="SimSun" w:hAnsi="SimSun" w:eastAsia="SimSun"/>
                <w:b/>
                <w:sz w:val="17"/>
              </w:rPr>
              <w:t>具体数值</w:t>
            </w:r>
          </w:p>
        </w:tc>
        <w:tc>
          <w:tcPr>
            <w:tcW w:type="dxa" w:w="4320"/>
          </w:tcPr>
          <w:p>
            <w:pPr>
              <w:spacing w:before="20" w:after="20"/>
            </w:pPr>
            <w:r>
              <w:rPr>
                <w:rFonts w:ascii="SimSun" w:hAnsi="SimSun" w:eastAsia="SimSun"/>
                <w:sz w:val="17"/>
              </w:rPr>
              <w:t>未剔除时六轮全部停留在同一位置、恢复率 0.000；剔除后访问 6 个不同位置、恢复率 0.876</w:t>
            </w:r>
          </w:p>
        </w:tc>
      </w:tr>
      <w:tr>
        <w:tc>
          <w:tcPr>
            <w:tcW w:type="dxa" w:w="4320"/>
          </w:tcPr>
          <w:p>
            <w:pPr>
              <w:spacing w:before="20" w:after="20"/>
            </w:pPr>
            <w:r>
              <w:rPr>
                <w:rFonts w:ascii="SimSun" w:hAnsi="SimSun" w:eastAsia="SimSun"/>
                <w:b/>
                <w:sz w:val="17"/>
              </w:rPr>
              <w:t>可以支持的表述</w:t>
            </w:r>
          </w:p>
        </w:tc>
        <w:tc>
          <w:tcPr>
            <w:tcW w:type="dxa" w:w="4320"/>
          </w:tcPr>
          <w:p>
            <w:pPr>
              <w:spacing w:before="20" w:after="20"/>
            </w:pPr>
            <w:r>
              <w:rPr>
                <w:rFonts w:ascii="SimSun" w:hAnsi="SimSun" w:eastAsia="SimSun"/>
                <w:sz w:val="17"/>
              </w:rPr>
              <w:t>上述全部</w:t>
            </w:r>
          </w:p>
        </w:tc>
      </w:tr>
      <w:tr>
        <w:tc>
          <w:tcPr>
            <w:tcW w:type="dxa" w:w="4320"/>
          </w:tcPr>
          <w:p>
            <w:pPr>
              <w:spacing w:before="20" w:after="20"/>
            </w:pPr>
            <w:r>
              <w:rPr>
                <w:rFonts w:ascii="SimSun" w:hAnsi="SimSun" w:eastAsia="SimSun"/>
                <w:b/>
                <w:sz w:val="17"/>
              </w:rPr>
              <w:t>明确禁止的表述</w:t>
            </w:r>
          </w:p>
        </w:tc>
        <w:tc>
          <w:tcPr>
            <w:tcW w:type="dxa" w:w="4320"/>
          </w:tcPr>
          <w:p>
            <w:pPr>
              <w:spacing w:before="20" w:after="20"/>
            </w:pPr>
            <w:r>
              <w:rPr>
                <w:rFonts w:ascii="SimSun" w:hAnsi="SimSun" w:eastAsia="SimSun"/>
                <w:sz w:val="17"/>
              </w:rPr>
              <w:t>❌ 声称该机制提升一般场景下的恢复率——它解决的是特定失效模式</w:t>
            </w:r>
          </w:p>
        </w:tc>
      </w:tr>
    </w:tbl>
    <w:p/>
    <w:p>
      <w:pPr>
        <w:pStyle w:val="Heading3"/>
        <w:spacing w:before="120" w:after="80"/>
      </w:pPr>
      <w:r>
        <w:rPr>
          <w:rFonts w:ascii="SimHei" w:hAnsi="SimHei" w:eastAsia="SimHei"/>
          <w:color w:val="000000"/>
          <w:sz w:val="24"/>
        </w:rPr>
        <w:t>1.8 单源最短路距离场</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before="20" w:after="20"/>
            </w:pPr>
            <w:r>
              <w:rPr>
                <w:rFonts w:ascii="SimSun" w:hAnsi="SimSun" w:eastAsia="SimSun"/>
                <w:b/>
                <w:sz w:val="17"/>
              </w:rPr>
              <w:t>项</w:t>
            </w:r>
          </w:p>
        </w:tc>
        <w:tc>
          <w:tcPr>
            <w:tcW w:type="dxa" w:w="4320"/>
          </w:tcPr>
          <w:p>
            <w:pPr>
              <w:spacing w:before="20" w:after="20"/>
            </w:pPr>
            <w:r>
              <w:rPr>
                <w:rFonts w:ascii="SimSun" w:hAnsi="SimSun" w:eastAsia="SimSun"/>
                <w:b/>
                <w:sz w:val="17"/>
              </w:rPr>
              <w:t>内容</w:t>
            </w:r>
          </w:p>
        </w:tc>
      </w:tr>
      <w:tr>
        <w:tc>
          <w:tcPr>
            <w:tcW w:type="dxa" w:w="4320"/>
          </w:tcPr>
          <w:p>
            <w:pPr>
              <w:spacing w:before="20" w:after="20"/>
            </w:pPr>
            <w:r>
              <w:rPr>
                <w:rFonts w:ascii="SimSun" w:hAnsi="SimSun" w:eastAsia="SimSun"/>
                <w:b/>
                <w:sz w:val="17"/>
              </w:rPr>
              <w:t>主张</w:t>
            </w:r>
          </w:p>
        </w:tc>
        <w:tc>
          <w:tcPr>
            <w:tcW w:type="dxa" w:w="4320"/>
          </w:tcPr>
          <w:p>
            <w:pPr>
              <w:spacing w:before="20" w:after="20"/>
            </w:pPr>
            <w:r>
              <w:rPr>
                <w:rFonts w:ascii="SimSun" w:hAnsi="SimSun" w:eastAsia="SimSun"/>
                <w:sz w:val="17"/>
              </w:rPr>
              <w:t>路径代价与逐候选搜索一致，大规模场景候选生成耗时由约 53 秒降至 3.5 秒</w:t>
            </w:r>
          </w:p>
        </w:tc>
      </w:tr>
      <w:tr>
        <w:tc>
          <w:tcPr>
            <w:tcW w:type="dxa" w:w="4320"/>
          </w:tcPr>
          <w:p>
            <w:pPr>
              <w:spacing w:before="20" w:after="20"/>
            </w:pPr>
            <w:r>
              <w:rPr>
                <w:rFonts w:ascii="SimSun" w:hAnsi="SimSun" w:eastAsia="SimSun"/>
                <w:b/>
                <w:sz w:val="17"/>
              </w:rPr>
              <w:t>证据等级</w:t>
            </w:r>
          </w:p>
        </w:tc>
        <w:tc>
          <w:tcPr>
            <w:tcW w:type="dxa" w:w="4320"/>
          </w:tcPr>
          <w:p>
            <w:pPr>
              <w:spacing w:before="20" w:after="20"/>
            </w:pPr>
            <w:r>
              <w:rPr>
                <w:rFonts w:ascii="SimSun" w:hAnsi="SimSun" w:eastAsia="SimSun"/>
                <w:b/>
                <w:sz w:val="17"/>
              </w:rPr>
              <w:t>[A]</w:t>
            </w:r>
          </w:p>
        </w:tc>
      </w:tr>
      <w:tr>
        <w:tc>
          <w:tcPr>
            <w:tcW w:type="dxa" w:w="4320"/>
          </w:tcPr>
          <w:p>
            <w:pPr>
              <w:spacing w:before="20" w:after="20"/>
            </w:pPr>
            <w:r>
              <w:rPr>
                <w:rFonts w:ascii="SimSun" w:hAnsi="SimSun" w:eastAsia="SimSun"/>
                <w:b/>
                <w:sz w:val="17"/>
              </w:rPr>
              <w:t>对应实验</w:t>
            </w:r>
          </w:p>
        </w:tc>
        <w:tc>
          <w:tcPr>
            <w:tcW w:type="dxa" w:w="4320"/>
          </w:tcPr>
          <w:p>
            <w:pPr>
              <w:spacing w:before="20" w:after="20"/>
            </w:pPr>
            <w:r>
              <w:rPr>
                <w:rFonts w:ascii="SimSun" w:hAnsi="SimSun" w:eastAsia="SimSun"/>
                <w:sz w:val="17"/>
              </w:rPr>
              <w:t>距离场与逐候选搜索的穷举比对 + 计时</w:t>
            </w:r>
          </w:p>
        </w:tc>
      </w:tr>
      <w:tr>
        <w:tc>
          <w:tcPr>
            <w:tcW w:type="dxa" w:w="4320"/>
          </w:tcPr>
          <w:p>
            <w:pPr>
              <w:spacing w:before="20" w:after="20"/>
            </w:pPr>
            <w:r>
              <w:rPr>
                <w:rFonts w:ascii="SimSun" w:hAnsi="SimSun" w:eastAsia="SimSun"/>
                <w:b/>
                <w:sz w:val="17"/>
              </w:rPr>
              <w:t>样本规模</w:t>
            </w:r>
          </w:p>
        </w:tc>
        <w:tc>
          <w:tcPr>
            <w:tcW w:type="dxa" w:w="4320"/>
          </w:tcPr>
          <w:p>
            <w:pPr>
              <w:spacing w:before="20" w:after="20"/>
            </w:pPr>
            <w:r>
              <w:rPr>
                <w:rFonts w:ascii="SimSun" w:hAnsi="SimSun" w:eastAsia="SimSun"/>
                <w:sz w:val="17"/>
              </w:rPr>
              <w:t>24330 个格点对（穷举）；计时为最大规模合成场景单轮</w:t>
            </w:r>
          </w:p>
        </w:tc>
      </w:tr>
      <w:tr>
        <w:tc>
          <w:tcPr>
            <w:tcW w:type="dxa" w:w="4320"/>
          </w:tcPr>
          <w:p>
            <w:pPr>
              <w:spacing w:before="20" w:after="20"/>
            </w:pPr>
            <w:r>
              <w:rPr>
                <w:rFonts w:ascii="SimSun" w:hAnsi="SimSun" w:eastAsia="SimSun"/>
                <w:b/>
                <w:sz w:val="17"/>
              </w:rPr>
              <w:t>具体数值</w:t>
            </w:r>
          </w:p>
        </w:tc>
        <w:tc>
          <w:tcPr>
            <w:tcW w:type="dxa" w:w="4320"/>
          </w:tcPr>
          <w:p>
            <w:pPr>
              <w:spacing w:before="20" w:after="20"/>
            </w:pPr>
            <w:r>
              <w:rPr>
                <w:rFonts w:ascii="SimSun" w:hAnsi="SimSun" w:eastAsia="SimSun"/>
                <w:sz w:val="17"/>
              </w:rPr>
              <w:t>可达性不一致 0 例，数值最大绝对差 4.44e-16（浮点结合序噪声）；候选生成 约 53 s → 3.5 s</w:t>
            </w:r>
          </w:p>
        </w:tc>
      </w:tr>
      <w:tr>
        <w:tc>
          <w:tcPr>
            <w:tcW w:type="dxa" w:w="4320"/>
          </w:tcPr>
          <w:p>
            <w:pPr>
              <w:spacing w:before="20" w:after="20"/>
            </w:pPr>
            <w:r>
              <w:rPr>
                <w:rFonts w:ascii="SimSun" w:hAnsi="SimSun" w:eastAsia="SimSun"/>
                <w:b/>
                <w:sz w:val="17"/>
              </w:rPr>
              <w:t>可以支持的表述</w:t>
            </w:r>
          </w:p>
        </w:tc>
        <w:tc>
          <w:tcPr>
            <w:tcW w:type="dxa" w:w="4320"/>
          </w:tcPr>
          <w:p>
            <w:pPr>
              <w:spacing w:before="20" w:after="20"/>
            </w:pPr>
            <w:r>
              <w:rPr>
                <w:rFonts w:ascii="SimSun" w:hAnsi="SimSun" w:eastAsia="SimSun"/>
                <w:sz w:val="17"/>
              </w:rPr>
              <w:t>"所得路径代价与逐候选搜索一致"；"降低候选评估的计算开销"</w:t>
            </w:r>
          </w:p>
        </w:tc>
      </w:tr>
      <w:tr>
        <w:tc>
          <w:tcPr>
            <w:tcW w:type="dxa" w:w="4320"/>
          </w:tcPr>
          <w:p>
            <w:pPr>
              <w:spacing w:before="20" w:after="20"/>
            </w:pPr>
            <w:r>
              <w:rPr>
                <w:rFonts w:ascii="SimSun" w:hAnsi="SimSun" w:eastAsia="SimSun"/>
                <w:b/>
                <w:sz w:val="17"/>
              </w:rPr>
              <w:t>明确禁止的表述</w:t>
            </w:r>
          </w:p>
        </w:tc>
        <w:tc>
          <w:tcPr>
            <w:tcW w:type="dxa" w:w="4320"/>
          </w:tcPr>
          <w:p>
            <w:pPr>
              <w:spacing w:before="20" w:after="20"/>
            </w:pPr>
            <w:r>
              <w:rPr>
                <w:rFonts w:ascii="SimSun" w:hAnsi="SimSun" w:eastAsia="SimSun"/>
                <w:sz w:val="17"/>
              </w:rPr>
              <w:t>❌ 把计算加速表述为规划质量提升</w:t>
            </w:r>
          </w:p>
        </w:tc>
      </w:tr>
    </w:tbl>
    <w:p/>
    <w:p>
      <w:pPr>
        <w:pStyle w:val="Heading3"/>
        <w:spacing w:before="120" w:after="80"/>
      </w:pPr>
      <w:r>
        <w:rPr>
          <w:rFonts w:ascii="SimHei" w:hAnsi="SimHei" w:eastAsia="SimHei"/>
          <w:color w:val="000000"/>
          <w:sz w:val="24"/>
        </w:rPr>
        <w:t>1.9 真实建筑数据</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before="20" w:after="20"/>
            </w:pPr>
            <w:r>
              <w:rPr>
                <w:rFonts w:ascii="SimSun" w:hAnsi="SimSun" w:eastAsia="SimSun"/>
                <w:b/>
                <w:sz w:val="17"/>
              </w:rPr>
              <w:t>项</w:t>
            </w:r>
          </w:p>
        </w:tc>
        <w:tc>
          <w:tcPr>
            <w:tcW w:type="dxa" w:w="4320"/>
          </w:tcPr>
          <w:p>
            <w:pPr>
              <w:spacing w:before="20" w:after="20"/>
            </w:pPr>
            <w:r>
              <w:rPr>
                <w:rFonts w:ascii="SimSun" w:hAnsi="SimSun" w:eastAsia="SimSun"/>
                <w:b/>
                <w:sz w:val="17"/>
              </w:rPr>
              <w:t>内容</w:t>
            </w:r>
          </w:p>
        </w:tc>
      </w:tr>
      <w:tr>
        <w:tc>
          <w:tcPr>
            <w:tcW w:type="dxa" w:w="4320"/>
          </w:tcPr>
          <w:p>
            <w:pPr>
              <w:spacing w:before="20" w:after="20"/>
            </w:pPr>
            <w:r>
              <w:rPr>
                <w:rFonts w:ascii="SimSun" w:hAnsi="SimSun" w:eastAsia="SimSun"/>
                <w:b/>
                <w:sz w:val="17"/>
              </w:rPr>
              <w:t>主张</w:t>
            </w:r>
          </w:p>
        </w:tc>
        <w:tc>
          <w:tcPr>
            <w:tcW w:type="dxa" w:w="4320"/>
          </w:tcPr>
          <w:p>
            <w:pPr>
              <w:spacing w:before="20" w:after="20"/>
            </w:pPr>
            <w:r>
              <w:rPr>
                <w:rFonts w:ascii="SimSun" w:hAnsi="SimSun" w:eastAsia="SimSun"/>
                <w:sz w:val="17"/>
              </w:rPr>
              <w:t>本方法能够消费真实设计模型与真实实测点云，流程可执行</w:t>
            </w:r>
          </w:p>
        </w:tc>
      </w:tr>
      <w:tr>
        <w:tc>
          <w:tcPr>
            <w:tcW w:type="dxa" w:w="4320"/>
          </w:tcPr>
          <w:p>
            <w:pPr>
              <w:spacing w:before="20" w:after="20"/>
            </w:pPr>
            <w:r>
              <w:rPr>
                <w:rFonts w:ascii="SimSun" w:hAnsi="SimSun" w:eastAsia="SimSun"/>
                <w:b/>
                <w:sz w:val="17"/>
              </w:rPr>
              <w:t>证据等级</w:t>
            </w:r>
          </w:p>
        </w:tc>
        <w:tc>
          <w:tcPr>
            <w:tcW w:type="dxa" w:w="4320"/>
          </w:tcPr>
          <w:p>
            <w:pPr>
              <w:spacing w:before="20" w:after="20"/>
            </w:pPr>
            <w:r>
              <w:rPr>
                <w:rFonts w:ascii="SimSun" w:hAnsi="SimSun" w:eastAsia="SimSun"/>
                <w:b/>
                <w:sz w:val="17"/>
              </w:rPr>
              <w:t>[A]</w:t>
            </w:r>
            <w:r>
              <w:rPr>
                <w:rFonts w:ascii="SimSun" w:hAnsi="SimSun" w:eastAsia="SimSun"/>
                <w:sz w:val="17"/>
              </w:rPr>
              <w:t>（仅就可执行性而言）</w:t>
            </w:r>
          </w:p>
        </w:tc>
      </w:tr>
      <w:tr>
        <w:tc>
          <w:tcPr>
            <w:tcW w:type="dxa" w:w="4320"/>
          </w:tcPr>
          <w:p>
            <w:pPr>
              <w:spacing w:before="20" w:after="20"/>
            </w:pPr>
            <w:r>
              <w:rPr>
                <w:rFonts w:ascii="SimSun" w:hAnsi="SimSun" w:eastAsia="SimSun"/>
                <w:b/>
                <w:sz w:val="17"/>
              </w:rPr>
              <w:t>对应实验</w:t>
            </w:r>
          </w:p>
        </w:tc>
        <w:tc>
          <w:tcPr>
            <w:tcW w:type="dxa" w:w="4320"/>
          </w:tcPr>
          <w:p>
            <w:pPr>
              <w:spacing w:before="20" w:after="20"/>
            </w:pPr>
            <w:r>
              <w:rPr>
                <w:rFonts w:ascii="SimSun" w:hAnsi="SimSun" w:eastAsia="SimSun"/>
                <w:sz w:val="17"/>
              </w:rPr>
              <w:t>真实建筑实施例</w:t>
            </w:r>
          </w:p>
        </w:tc>
      </w:tr>
      <w:tr>
        <w:tc>
          <w:tcPr>
            <w:tcW w:type="dxa" w:w="4320"/>
          </w:tcPr>
          <w:p>
            <w:pPr>
              <w:spacing w:before="20" w:after="20"/>
            </w:pPr>
            <w:r>
              <w:rPr>
                <w:rFonts w:ascii="SimSun" w:hAnsi="SimSun" w:eastAsia="SimSun"/>
                <w:b/>
                <w:sz w:val="17"/>
              </w:rPr>
              <w:t>样本规模</w:t>
            </w:r>
          </w:p>
        </w:tc>
        <w:tc>
          <w:tcPr>
            <w:tcW w:type="dxa" w:w="4320"/>
          </w:tcPr>
          <w:p>
            <w:pPr>
              <w:spacing w:before="20" w:after="20"/>
            </w:pPr>
            <w:r>
              <w:rPr>
                <w:rFonts w:ascii="SimSun" w:hAnsi="SimSun" w:eastAsia="SimSun"/>
                <w:b/>
                <w:sz w:val="17"/>
              </w:rPr>
              <w:t>1 栋建筑、1 个主要随机种子</w:t>
            </w:r>
            <w:r>
              <w:rPr>
                <w:rFonts w:ascii="SimSun" w:hAnsi="SimSun" w:eastAsia="SimSun"/>
                <w:sz w:val="17"/>
              </w:rPr>
              <w:t>，16 次运行（含消融）</w:t>
            </w:r>
          </w:p>
        </w:tc>
      </w:tr>
      <w:tr>
        <w:tc>
          <w:tcPr>
            <w:tcW w:type="dxa" w:w="4320"/>
          </w:tcPr>
          <w:p>
            <w:pPr>
              <w:spacing w:before="20" w:after="20"/>
            </w:pPr>
            <w:r>
              <w:rPr>
                <w:rFonts w:ascii="SimSun" w:hAnsi="SimSun" w:eastAsia="SimSun"/>
                <w:b/>
                <w:sz w:val="17"/>
              </w:rPr>
              <w:t>具体数值</w:t>
            </w:r>
          </w:p>
        </w:tc>
        <w:tc>
          <w:tcPr>
            <w:tcW w:type="dxa" w:w="4320"/>
          </w:tcPr>
          <w:p>
            <w:pPr>
              <w:spacing w:before="20" w:after="20"/>
            </w:pPr>
            <w:r>
              <w:rPr>
                <w:rFonts w:ascii="SimSun" w:hAnsi="SimSun" w:eastAsia="SimSun"/>
                <w:sz w:val="17"/>
              </w:rPr>
              <w:t>设计模型 604187 顶点 / 1197750 三角面 / 256 建模构件 / 7019 表面分块，占地 18.2 m × 24.5 m，表面积 3836.5 m²；实测点 584701977 个，5 cm 阈值下匹配 12835294 个。执行 28 站，本方案 0.959 / 0.981 / 0.956</w:t>
            </w:r>
          </w:p>
        </w:tc>
      </w:tr>
      <w:tr>
        <w:tc>
          <w:tcPr>
            <w:tcW w:type="dxa" w:w="4320"/>
          </w:tcPr>
          <w:p>
            <w:pPr>
              <w:spacing w:before="20" w:after="20"/>
            </w:pPr>
            <w:r>
              <w:rPr>
                <w:rFonts w:ascii="SimSun" w:hAnsi="SimSun" w:eastAsia="SimSun"/>
                <w:b/>
                <w:sz w:val="17"/>
              </w:rPr>
              <w:t>可以支持的表述</w:t>
            </w:r>
          </w:p>
        </w:tc>
        <w:tc>
          <w:tcPr>
            <w:tcW w:type="dxa" w:w="4320"/>
          </w:tcPr>
          <w:p>
            <w:pPr>
              <w:spacing w:before="20" w:after="20"/>
            </w:pPr>
            <w:r>
              <w:rPr>
                <w:rFonts w:ascii="SimSun" w:hAnsi="SimSun" w:eastAsia="SimSun"/>
                <w:sz w:val="17"/>
              </w:rPr>
              <w:t>"能够消费真实设计模型与真实实测点云"；"流程在真实建筑数据上可执行"；"对应实施例可正常产生输出"</w:t>
            </w:r>
          </w:p>
        </w:tc>
      </w:tr>
      <w:tr>
        <w:tc>
          <w:tcPr>
            <w:tcW w:type="dxa" w:w="4320"/>
          </w:tcPr>
          <w:p>
            <w:pPr>
              <w:spacing w:before="20" w:after="20"/>
            </w:pPr>
            <w:r>
              <w:rPr>
                <w:rFonts w:ascii="SimSun" w:hAnsi="SimSun" w:eastAsia="SimSun"/>
                <w:b/>
                <w:sz w:val="17"/>
              </w:rPr>
              <w:t>明确禁止的表述</w:t>
            </w:r>
          </w:p>
        </w:tc>
        <w:tc>
          <w:tcPr>
            <w:tcW w:type="dxa" w:w="4320"/>
          </w:tcPr>
          <w:p>
            <w:pPr>
              <w:spacing w:before="20" w:after="20"/>
            </w:pPr>
            <w:r>
              <w:rPr>
                <w:rFonts w:ascii="SimSun" w:hAnsi="SimSun" w:eastAsia="SimSun"/>
                <w:sz w:val="17"/>
              </w:rPr>
              <w:t>❌"在真实建筑中普遍优于……"；❌"证明具有广泛泛化能力"；❌"对不同真实建筑均有效"；❌ 任何由本实施例推出的方法间优劣比较</w:t>
            </w:r>
          </w:p>
        </w:tc>
      </w:tr>
      <w:tr>
        <w:tc>
          <w:tcPr>
            <w:tcW w:type="dxa" w:w="4320"/>
          </w:tcPr>
          <w:p>
            <w:pPr>
              <w:spacing w:before="20" w:after="20"/>
            </w:pPr>
            <w:r>
              <w:rPr>
                <w:rFonts w:ascii="SimSun" w:hAnsi="SimSun" w:eastAsia="SimSun"/>
                <w:b/>
                <w:sz w:val="17"/>
              </w:rPr>
              <w:t>须一并记载的限制</w:t>
            </w:r>
          </w:p>
        </w:tc>
        <w:tc>
          <w:tcPr>
            <w:tcW w:type="dxa" w:w="4320"/>
          </w:tcPr>
          <w:p>
            <w:pPr>
              <w:spacing w:before="20" w:after="20"/>
            </w:pPr>
            <w:r>
              <w:rPr>
                <w:rFonts w:ascii="SimSun" w:hAnsi="SimSun" w:eastAsia="SimSun"/>
                <w:sz w:val="17"/>
              </w:rPr>
              <w:t>该数据集只提供一份融合后的点云、不含逐站位姿，因此补充扫描站位的重新采集由射线仿真器在真实设计模型上完成——几何与缺口来自真实数据，重新采集为仿真</w:t>
            </w:r>
          </w:p>
        </w:tc>
      </w:tr>
    </w:tbl>
    <w:p/>
    <w:p>
      <w:pPr>
        <w:pStyle w:val="Heading3"/>
        <w:spacing w:before="120" w:after="80"/>
      </w:pPr>
      <w:r>
        <w:rPr>
          <w:rFonts w:ascii="SimHei" w:hAnsi="SimHei" w:eastAsia="SimHei"/>
          <w:color w:val="000000"/>
          <w:sz w:val="24"/>
        </w:rPr>
        <w:t>1.10 配准支持评分项（候选价值中的配准项）</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before="20" w:after="20"/>
            </w:pPr>
            <w:r>
              <w:rPr>
                <w:rFonts w:ascii="SimSun" w:hAnsi="SimSun" w:eastAsia="SimSun"/>
                <w:b/>
                <w:sz w:val="17"/>
              </w:rPr>
              <w:t>项</w:t>
            </w:r>
          </w:p>
        </w:tc>
        <w:tc>
          <w:tcPr>
            <w:tcW w:type="dxa" w:w="4320"/>
          </w:tcPr>
          <w:p>
            <w:pPr>
              <w:spacing w:before="20" w:after="20"/>
            </w:pPr>
            <w:r>
              <w:rPr>
                <w:rFonts w:ascii="SimSun" w:hAnsi="SimSun" w:eastAsia="SimSun"/>
                <w:b/>
                <w:sz w:val="17"/>
              </w:rPr>
              <w:t>内容</w:t>
            </w:r>
          </w:p>
        </w:tc>
      </w:tr>
      <w:tr>
        <w:tc>
          <w:tcPr>
            <w:tcW w:type="dxa" w:w="4320"/>
          </w:tcPr>
          <w:p>
            <w:pPr>
              <w:spacing w:before="20" w:after="20"/>
            </w:pPr>
            <w:r>
              <w:rPr>
                <w:rFonts w:ascii="SimSun" w:hAnsi="SimSun" w:eastAsia="SimSun"/>
                <w:b/>
                <w:sz w:val="17"/>
              </w:rPr>
              <w:t>主张</w:t>
            </w:r>
          </w:p>
        </w:tc>
        <w:tc>
          <w:tcPr>
            <w:tcW w:type="dxa" w:w="4320"/>
          </w:tcPr>
          <w:p>
            <w:pPr>
              <w:spacing w:before="20" w:after="20"/>
            </w:pPr>
            <w:r>
              <w:rPr>
                <w:rFonts w:ascii="SimSun" w:hAnsi="SimSun" w:eastAsia="SimSun"/>
                <w:b/>
                <w:sz w:val="17"/>
              </w:rPr>
              <w:t>无可主张的效果</w:t>
            </w:r>
            <w:r>
              <w:rPr>
                <w:rFonts w:ascii="SimSun" w:hAnsi="SimSun" w:eastAsia="SimSun"/>
                <w:sz w:val="17"/>
              </w:rPr>
              <w:t>；仅可说明机理</w:t>
            </w:r>
          </w:p>
        </w:tc>
      </w:tr>
      <w:tr>
        <w:tc>
          <w:tcPr>
            <w:tcW w:type="dxa" w:w="4320"/>
          </w:tcPr>
          <w:p>
            <w:pPr>
              <w:spacing w:before="20" w:after="20"/>
            </w:pPr>
            <w:r>
              <w:rPr>
                <w:rFonts w:ascii="SimSun" w:hAnsi="SimSun" w:eastAsia="SimSun"/>
                <w:b/>
                <w:sz w:val="17"/>
              </w:rPr>
              <w:t>证据等级</w:t>
            </w:r>
          </w:p>
        </w:tc>
        <w:tc>
          <w:tcPr>
            <w:tcW w:type="dxa" w:w="4320"/>
          </w:tcPr>
          <w:p>
            <w:pPr>
              <w:spacing w:before="20" w:after="20"/>
            </w:pPr>
            <w:r>
              <w:rPr>
                <w:rFonts w:ascii="SimSun" w:hAnsi="SimSun" w:eastAsia="SimSun"/>
                <w:b/>
                <w:sz w:val="17"/>
              </w:rPr>
              <w:t>[A]</w:t>
            </w:r>
            <w:r>
              <w:rPr>
                <w:rFonts w:ascii="SimSun" w:hAnsi="SimSun" w:eastAsia="SimSun"/>
                <w:sz w:val="17"/>
              </w:rPr>
              <w:t>（"无影响"这一事实有实验支持）</w:t>
            </w:r>
          </w:p>
        </w:tc>
      </w:tr>
      <w:tr>
        <w:tc>
          <w:tcPr>
            <w:tcW w:type="dxa" w:w="4320"/>
          </w:tcPr>
          <w:p>
            <w:pPr>
              <w:spacing w:before="20" w:after="20"/>
            </w:pPr>
            <w:r>
              <w:rPr>
                <w:rFonts w:ascii="SimSun" w:hAnsi="SimSun" w:eastAsia="SimSun"/>
                <w:b/>
                <w:sz w:val="17"/>
              </w:rPr>
              <w:t>对应实验</w:t>
            </w:r>
          </w:p>
        </w:tc>
        <w:tc>
          <w:tcPr>
            <w:tcW w:type="dxa" w:w="4320"/>
          </w:tcPr>
          <w:p>
            <w:pPr>
              <w:spacing w:before="20" w:after="20"/>
            </w:pPr>
            <w:r>
              <w:rPr>
                <w:rFonts w:ascii="SimSun" w:hAnsi="SimSun" w:eastAsia="SimSun"/>
                <w:sz w:val="17"/>
              </w:rPr>
              <w:t>配准项权重置零消融</w:t>
            </w:r>
          </w:p>
        </w:tc>
      </w:tr>
      <w:tr>
        <w:tc>
          <w:tcPr>
            <w:tcW w:type="dxa" w:w="4320"/>
          </w:tcPr>
          <w:p>
            <w:pPr>
              <w:spacing w:before="20" w:after="20"/>
            </w:pPr>
            <w:r>
              <w:rPr>
                <w:rFonts w:ascii="SimSun" w:hAnsi="SimSun" w:eastAsia="SimSun"/>
                <w:b/>
                <w:sz w:val="17"/>
              </w:rPr>
              <w:t>样本规模</w:t>
            </w:r>
          </w:p>
        </w:tc>
        <w:tc>
          <w:tcPr>
            <w:tcW w:type="dxa" w:w="4320"/>
          </w:tcPr>
          <w:p>
            <w:pPr>
              <w:spacing w:before="20" w:after="20"/>
            </w:pPr>
            <w:r>
              <w:rPr>
                <w:rFonts w:ascii="SimSun" w:hAnsi="SimSun" w:eastAsia="SimSun"/>
                <w:sz w:val="17"/>
              </w:rPr>
              <w:t>真实建筑 2 种缺口定义各 1 次</w:t>
            </w:r>
          </w:p>
        </w:tc>
      </w:tr>
      <w:tr>
        <w:tc>
          <w:tcPr>
            <w:tcW w:type="dxa" w:w="4320"/>
          </w:tcPr>
          <w:p>
            <w:pPr>
              <w:spacing w:before="20" w:after="20"/>
            </w:pPr>
            <w:r>
              <w:rPr>
                <w:rFonts w:ascii="SimSun" w:hAnsi="SimSun" w:eastAsia="SimSun"/>
                <w:b/>
                <w:sz w:val="17"/>
              </w:rPr>
              <w:t>具体数值</w:t>
            </w:r>
          </w:p>
        </w:tc>
        <w:tc>
          <w:tcPr>
            <w:tcW w:type="dxa" w:w="4320"/>
          </w:tcPr>
          <w:p>
            <w:pPr>
              <w:spacing w:before="20" w:after="20"/>
            </w:pPr>
            <w:r>
              <w:rPr>
                <w:rFonts w:ascii="SimSun" w:hAnsi="SimSun" w:eastAsia="SimSun"/>
                <w:sz w:val="17"/>
              </w:rPr>
              <w:t>权重置零后闭环结果</w:t>
            </w:r>
            <w:r>
              <w:rPr>
                <w:rFonts w:ascii="SimSun" w:hAnsi="SimSun" w:eastAsia="SimSun"/>
                <w:b/>
                <w:sz w:val="17"/>
              </w:rPr>
              <w:t>逐位不变</w:t>
            </w:r>
            <w:r>
              <w:rPr>
                <w:rFonts w:ascii="SimSun" w:hAnsi="SimSun" w:eastAsia="SimSun"/>
                <w:sz w:val="17"/>
              </w:rPr>
              <w:t>（0.959/0.981/0.956 与 0.797/0.879/0.625 两组均相同）。另在合成场景上，重叠区退化度中位 0.984，该项约占候选价值 1%，六轮闭环中一次未改变最高价值候选</w:t>
            </w:r>
          </w:p>
        </w:tc>
      </w:tr>
      <w:tr>
        <w:tc>
          <w:tcPr>
            <w:tcW w:type="dxa" w:w="4320"/>
          </w:tcPr>
          <w:p>
            <w:pPr>
              <w:spacing w:before="20" w:after="20"/>
            </w:pPr>
            <w:r>
              <w:rPr>
                <w:rFonts w:ascii="SimSun" w:hAnsi="SimSun" w:eastAsia="SimSun"/>
                <w:b/>
                <w:sz w:val="17"/>
              </w:rPr>
              <w:t>可以支持的表述</w:t>
            </w:r>
          </w:p>
        </w:tc>
        <w:tc>
          <w:tcPr>
            <w:tcW w:type="dxa" w:w="4320"/>
          </w:tcPr>
          <w:p>
            <w:pPr>
              <w:spacing w:before="20" w:after="20"/>
            </w:pPr>
            <w:r>
              <w:rPr>
                <w:rFonts w:ascii="SimSun" w:hAnsi="SimSun" w:eastAsia="SimSun"/>
                <w:sz w:val="17"/>
              </w:rPr>
              <w:t>"在机理上用于评价新增观测的可配准性或提供数据质量依据"</w:t>
            </w:r>
          </w:p>
        </w:tc>
      </w:tr>
      <w:tr>
        <w:tc>
          <w:tcPr>
            <w:tcW w:type="dxa" w:w="4320"/>
          </w:tcPr>
          <w:p>
            <w:pPr>
              <w:spacing w:before="20" w:after="20"/>
            </w:pPr>
            <w:r>
              <w:rPr>
                <w:rFonts w:ascii="SimSun" w:hAnsi="SimSun" w:eastAsia="SimSun"/>
                <w:b/>
                <w:sz w:val="17"/>
              </w:rPr>
              <w:t>明确禁止的表述</w:t>
            </w:r>
          </w:p>
        </w:tc>
        <w:tc>
          <w:tcPr>
            <w:tcW w:type="dxa" w:w="4320"/>
          </w:tcPr>
          <w:p>
            <w:pPr>
              <w:spacing w:before="20" w:after="20"/>
            </w:pPr>
            <w:r>
              <w:rPr>
                <w:rFonts w:ascii="SimSun" w:hAnsi="SimSun" w:eastAsia="SimSun"/>
                <w:sz w:val="17"/>
              </w:rPr>
              <w:t>❌"提高候选选择质量"；❌"提高恢复率"；❌"改善路线质量"；❌"改变视点决策"</w:t>
            </w:r>
          </w:p>
        </w:tc>
      </w:tr>
    </w:tbl>
    <w:p/>
    <w:p>
      <w:pPr>
        <w:pStyle w:val="Heading3"/>
        <w:spacing w:before="120" w:after="80"/>
      </w:pPr>
      <w:r>
        <w:rPr>
          <w:rFonts w:ascii="SimHei" w:hAnsi="SimHei" w:eastAsia="SimHei"/>
          <w:color w:val="000000"/>
          <w:sz w:val="24"/>
        </w:rPr>
        <w:t>1.10b 配准失败时新增点云的使用范围（代码事实核对）</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before="20" w:after="20"/>
            </w:pPr>
            <w:r>
              <w:rPr>
                <w:rFonts w:ascii="SimSun" w:hAnsi="SimSun" w:eastAsia="SimSun"/>
                <w:b/>
                <w:sz w:val="17"/>
              </w:rPr>
              <w:t>项</w:t>
            </w:r>
          </w:p>
        </w:tc>
        <w:tc>
          <w:tcPr>
            <w:tcW w:type="dxa" w:w="4320"/>
          </w:tcPr>
          <w:p>
            <w:pPr>
              <w:spacing w:before="20" w:after="20"/>
            </w:pPr>
            <w:r>
              <w:rPr>
                <w:rFonts w:ascii="SimSun" w:hAnsi="SimSun" w:eastAsia="SimSun"/>
                <w:b/>
                <w:sz w:val="17"/>
              </w:rPr>
              <w:t>内容</w:t>
            </w:r>
          </w:p>
        </w:tc>
      </w:tr>
      <w:tr>
        <w:tc>
          <w:tcPr>
            <w:tcW w:type="dxa" w:w="4320"/>
          </w:tcPr>
          <w:p>
            <w:pPr>
              <w:spacing w:before="20" w:after="20"/>
            </w:pPr>
            <w:r>
              <w:rPr>
                <w:rFonts w:ascii="SimSun" w:hAnsi="SimSun" w:eastAsia="SimSun"/>
                <w:b/>
                <w:sz w:val="17"/>
              </w:rPr>
              <w:t>主张</w:t>
            </w:r>
          </w:p>
        </w:tc>
        <w:tc>
          <w:tcPr>
            <w:tcW w:type="dxa" w:w="4320"/>
          </w:tcPr>
          <w:p>
            <w:pPr>
              <w:spacing w:before="20" w:after="20"/>
            </w:pPr>
            <w:r>
              <w:rPr>
                <w:rFonts w:ascii="SimSun" w:hAnsi="SimSun" w:eastAsia="SimSun"/>
                <w:sz w:val="17"/>
              </w:rPr>
              <w:t>判定为不满足预设更新条件时，规划用遮挡模型与缺口证据均保持不变</w:t>
            </w:r>
          </w:p>
        </w:tc>
      </w:tr>
      <w:tr>
        <w:tc>
          <w:tcPr>
            <w:tcW w:type="dxa" w:w="4320"/>
          </w:tcPr>
          <w:p>
            <w:pPr>
              <w:spacing w:before="20" w:after="20"/>
            </w:pPr>
            <w:r>
              <w:rPr>
                <w:rFonts w:ascii="SimSun" w:hAnsi="SimSun" w:eastAsia="SimSun"/>
                <w:b/>
                <w:sz w:val="17"/>
              </w:rPr>
              <w:t>证据等级</w:t>
            </w:r>
          </w:p>
        </w:tc>
        <w:tc>
          <w:tcPr>
            <w:tcW w:type="dxa" w:w="4320"/>
          </w:tcPr>
          <w:p>
            <w:pPr>
              <w:spacing w:before="20" w:after="20"/>
            </w:pPr>
            <w:r>
              <w:rPr>
                <w:rFonts w:ascii="SimSun" w:hAnsi="SimSun" w:eastAsia="SimSun"/>
                <w:b/>
                <w:sz w:val="17"/>
              </w:rPr>
              <w:t>[A]</w:t>
            </w:r>
            <w:r>
              <w:rPr>
                <w:rFonts w:ascii="SimSun" w:hAnsi="SimSun" w:eastAsia="SimSun"/>
                <w:sz w:val="17"/>
              </w:rPr>
              <w:t>（代码事实）</w:t>
            </w:r>
          </w:p>
        </w:tc>
      </w:tr>
      <w:tr>
        <w:tc>
          <w:tcPr>
            <w:tcW w:type="dxa" w:w="4320"/>
          </w:tcPr>
          <w:p>
            <w:pPr>
              <w:spacing w:before="20" w:after="20"/>
            </w:pPr>
            <w:r>
              <w:rPr>
                <w:rFonts w:ascii="SimSun" w:hAnsi="SimSun" w:eastAsia="SimSun"/>
                <w:b/>
                <w:sz w:val="17"/>
              </w:rPr>
              <w:t>结论</w:t>
            </w:r>
          </w:p>
        </w:tc>
        <w:tc>
          <w:tcPr>
            <w:tcW w:type="dxa" w:w="4320"/>
          </w:tcPr>
          <w:p>
            <w:pPr>
              <w:spacing w:before="20" w:after="20"/>
            </w:pPr>
            <w:r>
              <w:rPr>
                <w:rFonts w:ascii="SimSun" w:hAnsi="SimSun" w:eastAsia="SimSun"/>
                <w:sz w:val="17"/>
              </w:rPr>
              <w:t>代码本来就未把失败站的点云用于遮挡模型更新。此前说明书把遮挡模型更新写成无条件，属</w:t>
            </w:r>
            <w:r>
              <w:rPr>
                <w:rFonts w:ascii="SimSun" w:hAnsi="SimSun" w:eastAsia="SimSun"/>
                <w:b/>
                <w:sz w:val="17"/>
              </w:rPr>
              <w:t>文本与代码不符</w:t>
            </w:r>
            <w:r>
              <w:rPr>
                <w:rFonts w:ascii="SimSun" w:hAnsi="SimSun" w:eastAsia="SimSun"/>
                <w:sz w:val="17"/>
              </w:rPr>
              <w:t>，已按代码改正</w:t>
            </w:r>
          </w:p>
        </w:tc>
      </w:tr>
      <w:tr>
        <w:tc>
          <w:tcPr>
            <w:tcW w:type="dxa" w:w="4320"/>
          </w:tcPr>
          <w:p>
            <w:pPr>
              <w:spacing w:before="20" w:after="20"/>
            </w:pPr>
            <w:r>
              <w:rPr>
                <w:rFonts w:ascii="SimSun" w:hAnsi="SimSun" w:eastAsia="SimSun"/>
                <w:b/>
                <w:sz w:val="17"/>
              </w:rPr>
              <w:t>技术理由</w:t>
            </w:r>
          </w:p>
        </w:tc>
        <w:tc>
          <w:tcPr>
            <w:tcW w:type="dxa" w:w="4320"/>
          </w:tcPr>
          <w:p>
            <w:pPr>
              <w:spacing w:before="20" w:after="20"/>
            </w:pPr>
            <w:r>
              <w:rPr>
                <w:rFonts w:ascii="SimSun" w:hAnsi="SimSun" w:eastAsia="SimSun"/>
                <w:sz w:val="17"/>
              </w:rPr>
              <w:t>判定失败意味着该站数据无法可靠拼入设计模型所在的全局坐标系，其回波点的全局坐标同样不可信，因而无法据以判定"该点离设计模型表面超过 ε"——距离判据本身以两者同处一个坐标系为前提</w:t>
            </w:r>
          </w:p>
        </w:tc>
      </w:tr>
      <w:tr>
        <w:tc>
          <w:tcPr>
            <w:tcW w:type="dxa" w:w="4320"/>
          </w:tcPr>
          <w:p>
            <w:pPr>
              <w:spacing w:before="20" w:after="20"/>
            </w:pPr>
            <w:r>
              <w:rPr>
                <w:rFonts w:ascii="SimSun" w:hAnsi="SimSun" w:eastAsia="SimSun"/>
                <w:b/>
                <w:sz w:val="17"/>
              </w:rPr>
              <w:t>例外情形</w:t>
            </w:r>
          </w:p>
        </w:tc>
        <w:tc>
          <w:tcPr>
            <w:tcW w:type="dxa" w:w="4320"/>
          </w:tcPr>
          <w:p>
            <w:pPr>
              <w:spacing w:before="20" w:after="20"/>
            </w:pPr>
            <w:r>
              <w:rPr>
                <w:rFonts w:ascii="SimSun" w:hAnsi="SimSun" w:eastAsia="SimSun"/>
                <w:sz w:val="17"/>
              </w:rPr>
              <w:t>若移动平台具备独立于点云配准的可靠全局定位，则该情形下可照常执行发现步骤。</w:t>
            </w:r>
            <w:r>
              <w:rPr>
                <w:rFonts w:ascii="SimSun" w:hAnsi="SimSun" w:eastAsia="SimSun"/>
                <w:b/>
                <w:sz w:val="17"/>
              </w:rPr>
              <w:t>本申请实施例不属于该情形</w:t>
            </w:r>
            <w:r>
              <w:rPr>
                <w:rFonts w:ascii="SimSun" w:hAnsi="SimSun" w:eastAsia="SimSun"/>
                <w:sz w:val="17"/>
              </w:rPr>
              <w:t>，说明书已注明</w:t>
            </w:r>
          </w:p>
        </w:tc>
      </w:tr>
    </w:tbl>
    <w:p/>
    <w:p>
      <w:pPr>
        <w:pStyle w:val="Heading3"/>
        <w:spacing w:before="120" w:after="80"/>
      </w:pPr>
      <w:r>
        <w:rPr>
          <w:rFonts w:ascii="SimHei" w:hAnsi="SimHei" w:eastAsia="SimHei"/>
          <w:color w:val="000000"/>
          <w:sz w:val="24"/>
        </w:rPr>
        <w:t>1.11 执行策略 A / B / C</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before="20" w:after="20"/>
            </w:pPr>
            <w:r>
              <w:rPr>
                <w:rFonts w:ascii="SimSun" w:hAnsi="SimSun" w:eastAsia="SimSun"/>
                <w:b/>
                <w:sz w:val="17"/>
              </w:rPr>
              <w:t>项</w:t>
            </w:r>
          </w:p>
        </w:tc>
        <w:tc>
          <w:tcPr>
            <w:tcW w:type="dxa" w:w="4320"/>
          </w:tcPr>
          <w:p>
            <w:pPr>
              <w:spacing w:before="20" w:after="20"/>
            </w:pPr>
            <w:r>
              <w:rPr>
                <w:rFonts w:ascii="SimSun" w:hAnsi="SimSun" w:eastAsia="SimSun"/>
                <w:b/>
                <w:sz w:val="17"/>
              </w:rPr>
              <w:t>内容</w:t>
            </w:r>
          </w:p>
        </w:tc>
      </w:tr>
      <w:tr>
        <w:tc>
          <w:tcPr>
            <w:tcW w:type="dxa" w:w="4320"/>
          </w:tcPr>
          <w:p>
            <w:pPr>
              <w:spacing w:before="20" w:after="20"/>
            </w:pPr>
            <w:r>
              <w:rPr>
                <w:rFonts w:ascii="SimSun" w:hAnsi="SimSun" w:eastAsia="SimSun"/>
                <w:b/>
                <w:sz w:val="17"/>
              </w:rPr>
              <w:t>主张</w:t>
            </w:r>
          </w:p>
        </w:tc>
        <w:tc>
          <w:tcPr>
            <w:tcW w:type="dxa" w:w="4320"/>
          </w:tcPr>
          <w:p>
            <w:pPr>
              <w:spacing w:before="20" w:after="20"/>
            </w:pPr>
            <w:r>
              <w:rPr>
                <w:rFonts w:ascii="SimSun" w:hAnsi="SimSun" w:eastAsia="SimSun"/>
                <w:sz w:val="17"/>
              </w:rPr>
              <w:t>三种策略在合成场景上性能有差异，在真实建筑上差异不明显</w:t>
            </w:r>
          </w:p>
        </w:tc>
      </w:tr>
      <w:tr>
        <w:tc>
          <w:tcPr>
            <w:tcW w:type="dxa" w:w="4320"/>
          </w:tcPr>
          <w:p>
            <w:pPr>
              <w:spacing w:before="20" w:after="20"/>
            </w:pPr>
            <w:r>
              <w:rPr>
                <w:rFonts w:ascii="SimSun" w:hAnsi="SimSun" w:eastAsia="SimSun"/>
                <w:b/>
                <w:sz w:val="17"/>
              </w:rPr>
              <w:t>证据等级</w:t>
            </w:r>
          </w:p>
        </w:tc>
        <w:tc>
          <w:tcPr>
            <w:tcW w:type="dxa" w:w="4320"/>
          </w:tcPr>
          <w:p>
            <w:pPr>
              <w:spacing w:before="20" w:after="20"/>
            </w:pPr>
            <w:r>
              <w:rPr>
                <w:rFonts w:ascii="SimSun" w:hAnsi="SimSun" w:eastAsia="SimSun"/>
                <w:b/>
                <w:sz w:val="17"/>
              </w:rPr>
              <w:t>[A]</w:t>
            </w:r>
          </w:p>
        </w:tc>
      </w:tr>
      <w:tr>
        <w:tc>
          <w:tcPr>
            <w:tcW w:type="dxa" w:w="4320"/>
          </w:tcPr>
          <w:p>
            <w:pPr>
              <w:spacing w:before="20" w:after="20"/>
            </w:pPr>
            <w:r>
              <w:rPr>
                <w:rFonts w:ascii="SimSun" w:hAnsi="SimSun" w:eastAsia="SimSun"/>
                <w:b/>
                <w:sz w:val="17"/>
              </w:rPr>
              <w:t>对应实验</w:t>
            </w:r>
          </w:p>
        </w:tc>
        <w:tc>
          <w:tcPr>
            <w:tcW w:type="dxa" w:w="4320"/>
          </w:tcPr>
          <w:p>
            <w:pPr>
              <w:spacing w:before="20" w:after="20"/>
            </w:pPr>
            <w:r>
              <w:rPr>
                <w:rFonts w:ascii="SimSun" w:hAnsi="SimSun" w:eastAsia="SimSun"/>
                <w:sz w:val="17"/>
              </w:rPr>
              <w:t>合成场景执行策略对照 45 次运行；真实建筑执行策略消融</w:t>
            </w:r>
          </w:p>
        </w:tc>
      </w:tr>
      <w:tr>
        <w:tc>
          <w:tcPr>
            <w:tcW w:type="dxa" w:w="4320"/>
          </w:tcPr>
          <w:p>
            <w:pPr>
              <w:spacing w:before="20" w:after="20"/>
            </w:pPr>
            <w:r>
              <w:rPr>
                <w:rFonts w:ascii="SimSun" w:hAnsi="SimSun" w:eastAsia="SimSun"/>
                <w:b/>
                <w:sz w:val="17"/>
              </w:rPr>
              <w:t>样本规模</w:t>
            </w:r>
          </w:p>
        </w:tc>
        <w:tc>
          <w:tcPr>
            <w:tcW w:type="dxa" w:w="4320"/>
          </w:tcPr>
          <w:p>
            <w:pPr>
              <w:spacing w:before="20" w:after="20"/>
            </w:pPr>
            <w:r>
              <w:rPr>
                <w:rFonts w:ascii="SimSun" w:hAnsi="SimSun" w:eastAsia="SimSun"/>
                <w:sz w:val="17"/>
              </w:rPr>
              <w:t>合成 3 类场景 × 5 个种子；真实建筑 1 栋 1 种子</w:t>
            </w:r>
          </w:p>
        </w:tc>
      </w:tr>
      <w:tr>
        <w:tc>
          <w:tcPr>
            <w:tcW w:type="dxa" w:w="4320"/>
          </w:tcPr>
          <w:p>
            <w:pPr>
              <w:spacing w:before="20" w:after="20"/>
            </w:pPr>
            <w:r>
              <w:rPr>
                <w:rFonts w:ascii="SimSun" w:hAnsi="SimSun" w:eastAsia="SimSun"/>
                <w:b/>
                <w:sz w:val="17"/>
              </w:rPr>
              <w:t>具体数值</w:t>
            </w:r>
          </w:p>
        </w:tc>
        <w:tc>
          <w:tcPr>
            <w:tcW w:type="dxa" w:w="4320"/>
          </w:tcPr>
          <w:p>
            <w:pPr>
              <w:spacing w:before="20" w:after="20"/>
            </w:pPr>
            <w:r>
              <w:rPr>
                <w:rFonts w:ascii="SimSun" w:hAnsi="SimSun" w:eastAsia="SimSun"/>
                <w:sz w:val="17"/>
              </w:rPr>
              <w:t>合成：策略 A 0.977 / 0.956 / 153 m，策略 C 0.967 / 0.924 / 230 m，单位路径增益差异 Holm 校正后 p = 0.0006。真实建筑：三者缺口加权恢复率 0.959 / 0.958 / 0.958</w:t>
            </w:r>
          </w:p>
        </w:tc>
      </w:tr>
      <w:tr>
        <w:tc>
          <w:tcPr>
            <w:tcW w:type="dxa" w:w="4320"/>
          </w:tcPr>
          <w:p>
            <w:pPr>
              <w:spacing w:before="20" w:after="20"/>
            </w:pPr>
            <w:r>
              <w:rPr>
                <w:rFonts w:ascii="SimSun" w:hAnsi="SimSun" w:eastAsia="SimSun"/>
                <w:b/>
                <w:sz w:val="17"/>
              </w:rPr>
              <w:t>可以支持的表述</w:t>
            </w:r>
          </w:p>
        </w:tc>
        <w:tc>
          <w:tcPr>
            <w:tcW w:type="dxa" w:w="4320"/>
          </w:tcPr>
          <w:p>
            <w:pPr>
              <w:spacing w:before="20" w:after="20"/>
            </w:pPr>
            <w:r>
              <w:rPr>
                <w:rFonts w:ascii="SimSun" w:hAnsi="SimSun" w:eastAsia="SimSun"/>
                <w:sz w:val="17"/>
              </w:rPr>
              <w:t>"在合成场景上策略 A 的表现最好，故列为优选实施方式"；"在真实建筑上尚无充分证据表明策略 A 具有明显性能优势"</w:t>
            </w:r>
          </w:p>
        </w:tc>
      </w:tr>
      <w:tr>
        <w:tc>
          <w:tcPr>
            <w:tcW w:type="dxa" w:w="4320"/>
          </w:tcPr>
          <w:p>
            <w:pPr>
              <w:spacing w:before="20" w:after="20"/>
            </w:pPr>
            <w:r>
              <w:rPr>
                <w:rFonts w:ascii="SimSun" w:hAnsi="SimSun" w:eastAsia="SimSun"/>
                <w:b/>
                <w:sz w:val="17"/>
              </w:rPr>
              <w:t>明确禁止的表述</w:t>
            </w:r>
          </w:p>
        </w:tc>
        <w:tc>
          <w:tcPr>
            <w:tcW w:type="dxa" w:w="4320"/>
          </w:tcPr>
          <w:p>
            <w:pPr>
              <w:spacing w:before="20" w:after="20"/>
            </w:pPr>
            <w:r>
              <w:rPr>
                <w:rFonts w:ascii="SimSun" w:hAnsi="SimSun" w:eastAsia="SimSun"/>
                <w:sz w:val="17"/>
              </w:rPr>
              <w:t>❌ 由性能差异直接推断创造性贡献大小——实验性能与专利创造性不是同一判断</w:t>
            </w:r>
          </w:p>
        </w:tc>
      </w:tr>
    </w:tbl>
    <w:p/>
    <w:p>
      <w:pPr>
        <w:pStyle w:val="Heading3"/>
        <w:spacing w:before="120" w:after="80"/>
      </w:pPr>
      <w:r>
        <w:rPr>
          <w:rFonts w:ascii="SimHei" w:hAnsi="SimHei" w:eastAsia="SimHei"/>
          <w:color w:val="000000"/>
          <w:sz w:val="24"/>
        </w:rPr>
        <w:t>1.12 体素外扩抑制措施</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before="20" w:after="20"/>
            </w:pPr>
            <w:r>
              <w:rPr>
                <w:rFonts w:ascii="SimSun" w:hAnsi="SimSun" w:eastAsia="SimSun"/>
                <w:b/>
                <w:sz w:val="17"/>
              </w:rPr>
              <w:t>项</w:t>
            </w:r>
          </w:p>
        </w:tc>
        <w:tc>
          <w:tcPr>
            <w:tcW w:type="dxa" w:w="4320"/>
          </w:tcPr>
          <w:p>
            <w:pPr>
              <w:spacing w:before="20" w:after="20"/>
            </w:pPr>
            <w:r>
              <w:rPr>
                <w:rFonts w:ascii="SimSun" w:hAnsi="SimSun" w:eastAsia="SimSun"/>
                <w:b/>
                <w:sz w:val="17"/>
              </w:rPr>
              <w:t>内容</w:t>
            </w:r>
          </w:p>
        </w:tc>
      </w:tr>
      <w:tr>
        <w:tc>
          <w:tcPr>
            <w:tcW w:type="dxa" w:w="4320"/>
          </w:tcPr>
          <w:p>
            <w:pPr>
              <w:spacing w:before="20" w:after="20"/>
            </w:pPr>
            <w:r>
              <w:rPr>
                <w:rFonts w:ascii="SimSun" w:hAnsi="SimSun" w:eastAsia="SimSun"/>
                <w:b/>
                <w:sz w:val="17"/>
              </w:rPr>
              <w:t>主张</w:t>
            </w:r>
          </w:p>
        </w:tc>
        <w:tc>
          <w:tcPr>
            <w:tcW w:type="dxa" w:w="4320"/>
          </w:tcPr>
          <w:p>
            <w:pPr>
              <w:spacing w:before="20" w:after="20"/>
            </w:pPr>
            <w:r>
              <w:rPr>
                <w:rFonts w:ascii="SimSun" w:hAnsi="SimSun" w:eastAsia="SimSun"/>
                <w:b/>
                <w:sz w:val="17"/>
              </w:rPr>
              <w:t>本申请未实现</w:t>
            </w:r>
          </w:p>
        </w:tc>
      </w:tr>
      <w:tr>
        <w:tc>
          <w:tcPr>
            <w:tcW w:type="dxa" w:w="4320"/>
          </w:tcPr>
          <w:p>
            <w:pPr>
              <w:spacing w:before="20" w:after="20"/>
            </w:pPr>
            <w:r>
              <w:rPr>
                <w:rFonts w:ascii="SimSun" w:hAnsi="SimSun" w:eastAsia="SimSun"/>
                <w:b/>
                <w:sz w:val="17"/>
              </w:rPr>
              <w:t>证据等级</w:t>
            </w:r>
          </w:p>
        </w:tc>
        <w:tc>
          <w:tcPr>
            <w:tcW w:type="dxa" w:w="4320"/>
          </w:tcPr>
          <w:p>
            <w:pPr>
              <w:spacing w:before="20" w:after="20"/>
            </w:pPr>
            <w:r>
              <w:rPr>
                <w:rFonts w:ascii="SimSun" w:hAnsi="SimSun" w:eastAsia="SimSun"/>
                <w:b/>
                <w:sz w:val="17"/>
              </w:rPr>
              <w:t>[C]</w:t>
            </w:r>
          </w:p>
        </w:tc>
      </w:tr>
      <w:tr>
        <w:tc>
          <w:tcPr>
            <w:tcW w:type="dxa" w:w="4320"/>
          </w:tcPr>
          <w:p>
            <w:pPr>
              <w:spacing w:before="20" w:after="20"/>
            </w:pPr>
            <w:r>
              <w:rPr>
                <w:rFonts w:ascii="SimSun" w:hAnsi="SimSun" w:eastAsia="SimSun"/>
                <w:b/>
                <w:sz w:val="17"/>
              </w:rPr>
              <w:t>说明</w:t>
            </w:r>
          </w:p>
        </w:tc>
        <w:tc>
          <w:tcPr>
            <w:tcW w:type="dxa" w:w="4320"/>
          </w:tcPr>
          <w:p>
            <w:pPr>
              <w:spacing w:before="20" w:after="20"/>
            </w:pPr>
            <w:r>
              <w:rPr>
                <w:rFonts w:ascii="SimSun" w:hAnsi="SimSun" w:eastAsia="SimSun"/>
                <w:sz w:val="17"/>
              </w:rPr>
              <w:t>现有实现中没有任何抑制体素外扩的措施。可考虑的方向（仅并入被多站一致判定为模型外的体素、按体素内点数设阈）</w:t>
            </w:r>
            <w:r>
              <w:rPr>
                <w:rFonts w:ascii="SimSun" w:hAnsi="SimSun" w:eastAsia="SimSun"/>
                <w:b/>
                <w:sz w:val="17"/>
              </w:rPr>
              <w:t>均未实现，不得写成已有方案</w:t>
            </w:r>
          </w:p>
        </w:tc>
      </w:tr>
    </w:tbl>
    <w:p/>
    <w:p>
      <w:pPr>
        <w:pStyle w:val="Heading3"/>
        <w:spacing w:before="120" w:after="80"/>
      </w:pPr>
      <w:r>
        <w:rPr>
          <w:rFonts w:ascii="SimHei" w:hAnsi="SimHei" w:eastAsia="SimHei"/>
          <w:color w:val="000000"/>
          <w:sz w:val="24"/>
        </w:rPr>
        <w:t>1.13 设备级分组</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before="20" w:after="20"/>
            </w:pPr>
            <w:r>
              <w:rPr>
                <w:rFonts w:ascii="SimSun" w:hAnsi="SimSun" w:eastAsia="SimSun"/>
                <w:b/>
                <w:sz w:val="17"/>
              </w:rPr>
              <w:t>项</w:t>
            </w:r>
          </w:p>
        </w:tc>
        <w:tc>
          <w:tcPr>
            <w:tcW w:type="dxa" w:w="4320"/>
          </w:tcPr>
          <w:p>
            <w:pPr>
              <w:spacing w:before="20" w:after="20"/>
            </w:pPr>
            <w:r>
              <w:rPr>
                <w:rFonts w:ascii="SimSun" w:hAnsi="SimSun" w:eastAsia="SimSun"/>
                <w:b/>
                <w:sz w:val="17"/>
              </w:rPr>
              <w:t>内容</w:t>
            </w:r>
          </w:p>
        </w:tc>
      </w:tr>
      <w:tr>
        <w:tc>
          <w:tcPr>
            <w:tcW w:type="dxa" w:w="4320"/>
          </w:tcPr>
          <w:p>
            <w:pPr>
              <w:spacing w:before="20" w:after="20"/>
            </w:pPr>
            <w:r>
              <w:rPr>
                <w:rFonts w:ascii="SimSun" w:hAnsi="SimSun" w:eastAsia="SimSun"/>
                <w:b/>
                <w:sz w:val="17"/>
              </w:rPr>
              <w:t>主张</w:t>
            </w:r>
          </w:p>
        </w:tc>
        <w:tc>
          <w:tcPr>
            <w:tcW w:type="dxa" w:w="4320"/>
          </w:tcPr>
          <w:p>
            <w:pPr>
              <w:spacing w:before="20" w:after="20"/>
            </w:pPr>
            <w:r>
              <w:rPr>
                <w:rFonts w:ascii="SimSun" w:hAnsi="SimSun" w:eastAsia="SimSun"/>
                <w:b/>
                <w:sz w:val="17"/>
              </w:rPr>
              <w:t>本申请未实现</w:t>
            </w:r>
          </w:p>
        </w:tc>
      </w:tr>
      <w:tr>
        <w:tc>
          <w:tcPr>
            <w:tcW w:type="dxa" w:w="4320"/>
          </w:tcPr>
          <w:p>
            <w:pPr>
              <w:spacing w:before="20" w:after="20"/>
            </w:pPr>
            <w:r>
              <w:rPr>
                <w:rFonts w:ascii="SimSun" w:hAnsi="SimSun" w:eastAsia="SimSun"/>
                <w:b/>
                <w:sz w:val="17"/>
              </w:rPr>
              <w:t>证据等级</w:t>
            </w:r>
          </w:p>
        </w:tc>
        <w:tc>
          <w:tcPr>
            <w:tcW w:type="dxa" w:w="4320"/>
          </w:tcPr>
          <w:p>
            <w:pPr>
              <w:spacing w:before="20" w:after="20"/>
            </w:pPr>
            <w:r>
              <w:rPr>
                <w:rFonts w:ascii="SimSun" w:hAnsi="SimSun" w:eastAsia="SimSun"/>
                <w:b/>
                <w:sz w:val="17"/>
              </w:rPr>
              <w:t>[C]</w:t>
            </w:r>
          </w:p>
        </w:tc>
      </w:tr>
      <w:tr>
        <w:tc>
          <w:tcPr>
            <w:tcW w:type="dxa" w:w="4320"/>
          </w:tcPr>
          <w:p>
            <w:pPr>
              <w:spacing w:before="20" w:after="20"/>
            </w:pPr>
            <w:r>
              <w:rPr>
                <w:rFonts w:ascii="SimSun" w:hAnsi="SimSun" w:eastAsia="SimSun"/>
                <w:b/>
                <w:sz w:val="17"/>
              </w:rPr>
              <w:t>说明</w:t>
            </w:r>
          </w:p>
        </w:tc>
        <w:tc>
          <w:tcPr>
            <w:tcW w:type="dxa" w:w="4320"/>
          </w:tcPr>
          <w:p>
            <w:pPr>
              <w:spacing w:before="20" w:after="20"/>
            </w:pPr>
            <w:r>
              <w:rPr>
                <w:rFonts w:ascii="SimSun" w:hAnsi="SimSun" w:eastAsia="SimSun"/>
                <w:sz w:val="17"/>
              </w:rPr>
              <w:t>"构件"统一指设计模型中的建模构件对象。一台主变压器对应箱体与数片散热片共若干个建模构件。</w:t>
            </w:r>
            <w:r>
              <w:rPr>
                <w:rFonts w:ascii="SimSun" w:hAnsi="SimSun" w:eastAsia="SimSun"/>
                <w:b/>
                <w:sz w:val="17"/>
              </w:rPr>
              <w:t>不得写作"每台设备等权"</w:t>
            </w:r>
            <w:r>
              <w:rPr>
                <w:rFonts w:ascii="SimSun" w:hAnsi="SimSun" w:eastAsia="SimSun"/>
                <w:sz w:val="17"/>
              </w:rPr>
              <w:t>。设备级聚合作为未来改进</w:t>
            </w:r>
          </w:p>
        </w:tc>
      </w:tr>
    </w:tbl>
    <w:p/>
    <w:p>
      <w:pPr>
        <w:pStyle w:val="Heading2"/>
        <w:spacing w:before="200" w:after="80"/>
      </w:pPr>
      <w:r>
        <w:rPr>
          <w:rFonts w:ascii="SimHei" w:hAnsi="SimHei" w:eastAsia="SimHei"/>
          <w:color w:val="000000"/>
          <w:sz w:val="27"/>
        </w:rPr>
        <w:t>附：说明书有益效果各小节与本表的对应</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before="20" w:after="20"/>
            </w:pPr>
            <w:r>
              <w:rPr>
                <w:rFonts w:ascii="SimSun" w:hAnsi="SimSun" w:eastAsia="SimSun"/>
                <w:b/>
                <w:sz w:val="17"/>
              </w:rPr>
              <w:t>说明书小节</w:t>
            </w:r>
          </w:p>
        </w:tc>
        <w:tc>
          <w:tcPr>
            <w:tcW w:type="dxa" w:w="4320"/>
          </w:tcPr>
          <w:p>
            <w:pPr>
              <w:spacing w:before="20" w:after="20"/>
            </w:pPr>
            <w:r>
              <w:rPr>
                <w:rFonts w:ascii="SimSun" w:hAnsi="SimSun" w:eastAsia="SimSun"/>
                <w:b/>
                <w:sz w:val="17"/>
              </w:rPr>
              <w:t>本表条目</w:t>
            </w:r>
          </w:p>
        </w:tc>
      </w:tr>
      <w:tr>
        <w:tc>
          <w:tcPr>
            <w:tcW w:type="dxa" w:w="4320"/>
          </w:tcPr>
          <w:p>
            <w:pPr>
              <w:spacing w:before="20" w:after="20"/>
            </w:pPr>
            <w:r>
              <w:rPr>
                <w:rFonts w:ascii="SimSun" w:hAnsi="SimSun" w:eastAsia="SimSun"/>
                <w:sz w:val="17"/>
              </w:rPr>
              <w:t>6.1 在线遮挡发现降低可见性预测误差</w:t>
            </w:r>
          </w:p>
        </w:tc>
        <w:tc>
          <w:tcPr>
            <w:tcW w:type="dxa" w:w="4320"/>
          </w:tcPr>
          <w:p>
            <w:pPr>
              <w:spacing w:before="20" w:after="20"/>
            </w:pPr>
            <w:r>
              <w:rPr>
                <w:rFonts w:ascii="SimSun" w:hAnsi="SimSun" w:eastAsia="SimSun"/>
                <w:sz w:val="17"/>
              </w:rPr>
              <w:t>1.1、1.2</w:t>
            </w:r>
          </w:p>
        </w:tc>
      </w:tr>
      <w:tr>
        <w:tc>
          <w:tcPr>
            <w:tcW w:type="dxa" w:w="4320"/>
          </w:tcPr>
          <w:p>
            <w:pPr>
              <w:spacing w:before="20" w:after="20"/>
            </w:pPr>
            <w:r>
              <w:rPr>
                <w:rFonts w:ascii="SimSun" w:hAnsi="SimSun" w:eastAsia="SimSun"/>
                <w:sz w:val="17"/>
              </w:rPr>
              <w:t>6.2 完整方案相对基线的缺口恢复率</w:t>
            </w:r>
          </w:p>
        </w:tc>
        <w:tc>
          <w:tcPr>
            <w:tcW w:type="dxa" w:w="4320"/>
          </w:tcPr>
          <w:p>
            <w:pPr>
              <w:spacing w:before="20" w:after="20"/>
            </w:pPr>
            <w:r>
              <w:rPr>
                <w:rFonts w:ascii="SimSun" w:hAnsi="SimSun" w:eastAsia="SimSun"/>
                <w:sz w:val="17"/>
              </w:rPr>
              <w:t>1.3</w:t>
            </w:r>
          </w:p>
        </w:tc>
      </w:tr>
      <w:tr>
        <w:tc>
          <w:tcPr>
            <w:tcW w:type="dxa" w:w="4320"/>
          </w:tcPr>
          <w:p>
            <w:pPr>
              <w:spacing w:before="20" w:after="20"/>
            </w:pPr>
            <w:r>
              <w:rPr>
                <w:rFonts w:ascii="SimSun" w:hAnsi="SimSun" w:eastAsia="SimSun"/>
                <w:sz w:val="17"/>
              </w:rPr>
              <w:t>6.3 跨场景规模与密度的稳定性</w:t>
            </w:r>
          </w:p>
        </w:tc>
        <w:tc>
          <w:tcPr>
            <w:tcW w:type="dxa" w:w="4320"/>
          </w:tcPr>
          <w:p>
            <w:pPr>
              <w:spacing w:before="20" w:after="20"/>
            </w:pPr>
            <w:r>
              <w:rPr>
                <w:rFonts w:ascii="SimSun" w:hAnsi="SimSun" w:eastAsia="SimSun"/>
                <w:sz w:val="17"/>
              </w:rPr>
              <w:t>1.4</w:t>
            </w:r>
          </w:p>
        </w:tc>
      </w:tr>
      <w:tr>
        <w:tc>
          <w:tcPr>
            <w:tcW w:type="dxa" w:w="4320"/>
          </w:tcPr>
          <w:p>
            <w:pPr>
              <w:spacing w:before="20" w:after="20"/>
            </w:pPr>
            <w:r>
              <w:rPr>
                <w:rFonts w:ascii="SimSun" w:hAnsi="SimSun" w:eastAsia="SimSun"/>
                <w:sz w:val="17"/>
              </w:rPr>
              <w:t>6.4 预算内可达回退避免零结果输出</w:t>
            </w:r>
          </w:p>
        </w:tc>
        <w:tc>
          <w:tcPr>
            <w:tcW w:type="dxa" w:w="4320"/>
          </w:tcPr>
          <w:p>
            <w:pPr>
              <w:spacing w:before="20" w:after="20"/>
            </w:pPr>
            <w:r>
              <w:rPr>
                <w:rFonts w:ascii="SimSun" w:hAnsi="SimSun" w:eastAsia="SimSun"/>
                <w:sz w:val="17"/>
              </w:rPr>
              <w:t>1.5</w:t>
            </w:r>
          </w:p>
        </w:tc>
      </w:tr>
      <w:tr>
        <w:tc>
          <w:tcPr>
            <w:tcW w:type="dxa" w:w="4320"/>
          </w:tcPr>
          <w:p>
            <w:pPr>
              <w:spacing w:before="20" w:after="20"/>
            </w:pPr>
            <w:r>
              <w:rPr>
                <w:rFonts w:ascii="SimSun" w:hAnsi="SimSun" w:eastAsia="SimSun"/>
                <w:sz w:val="17"/>
              </w:rPr>
              <w:t>6.5 目标分块按构件分组保证候选覆盖</w:t>
            </w:r>
          </w:p>
        </w:tc>
        <w:tc>
          <w:tcPr>
            <w:tcW w:type="dxa" w:w="4320"/>
          </w:tcPr>
          <w:p>
            <w:pPr>
              <w:spacing w:before="20" w:after="20"/>
            </w:pPr>
            <w:r>
              <w:rPr>
                <w:rFonts w:ascii="SimSun" w:hAnsi="SimSun" w:eastAsia="SimSun"/>
                <w:sz w:val="17"/>
              </w:rPr>
              <w:t>1.6</w:t>
            </w:r>
          </w:p>
        </w:tc>
      </w:tr>
      <w:tr>
        <w:tc>
          <w:tcPr>
            <w:tcW w:type="dxa" w:w="4320"/>
          </w:tcPr>
          <w:p>
            <w:pPr>
              <w:spacing w:before="20" w:after="20"/>
            </w:pPr>
            <w:r>
              <w:rPr>
                <w:rFonts w:ascii="SimSun" w:hAnsi="SimSun" w:eastAsia="SimSun"/>
                <w:sz w:val="17"/>
              </w:rPr>
              <w:t>6.6 剔除失败站位邻域的候选避免重复选取</w:t>
            </w:r>
          </w:p>
        </w:tc>
        <w:tc>
          <w:tcPr>
            <w:tcW w:type="dxa" w:w="4320"/>
          </w:tcPr>
          <w:p>
            <w:pPr>
              <w:spacing w:before="20" w:after="20"/>
            </w:pPr>
            <w:r>
              <w:rPr>
                <w:rFonts w:ascii="SimSun" w:hAnsi="SimSun" w:eastAsia="SimSun"/>
                <w:sz w:val="17"/>
              </w:rPr>
              <w:t>1.7</w:t>
            </w:r>
          </w:p>
        </w:tc>
      </w:tr>
      <w:tr>
        <w:tc>
          <w:tcPr>
            <w:tcW w:type="dxa" w:w="4320"/>
          </w:tcPr>
          <w:p>
            <w:pPr>
              <w:spacing w:before="20" w:after="20"/>
            </w:pPr>
            <w:r>
              <w:rPr>
                <w:rFonts w:ascii="SimSun" w:hAnsi="SimSun" w:eastAsia="SimSun"/>
                <w:sz w:val="17"/>
              </w:rPr>
              <w:t>6.7 单源最短路距离场降低候选评估开销</w:t>
            </w:r>
          </w:p>
        </w:tc>
        <w:tc>
          <w:tcPr>
            <w:tcW w:type="dxa" w:w="4320"/>
          </w:tcPr>
          <w:p>
            <w:pPr>
              <w:spacing w:before="20" w:after="20"/>
            </w:pPr>
            <w:r>
              <w:rPr>
                <w:rFonts w:ascii="SimSun" w:hAnsi="SimSun" w:eastAsia="SimSun"/>
                <w:sz w:val="17"/>
              </w:rPr>
              <w:t>1.8</w:t>
            </w:r>
          </w:p>
        </w:tc>
      </w:tr>
      <w:tr>
        <w:tc>
          <w:tcPr>
            <w:tcW w:type="dxa" w:w="4320"/>
          </w:tcPr>
          <w:p>
            <w:pPr>
              <w:spacing w:before="20" w:after="20"/>
            </w:pPr>
            <w:r>
              <w:rPr>
                <w:rFonts w:ascii="SimSun" w:hAnsi="SimSun" w:eastAsia="SimSun"/>
                <w:sz w:val="17"/>
              </w:rPr>
              <w:t>6.8 真实建筑数据上的可执行性</w:t>
            </w:r>
          </w:p>
        </w:tc>
        <w:tc>
          <w:tcPr>
            <w:tcW w:type="dxa" w:w="4320"/>
          </w:tcPr>
          <w:p>
            <w:pPr>
              <w:spacing w:before="20" w:after="20"/>
            </w:pPr>
            <w:r>
              <w:rPr>
                <w:rFonts w:ascii="SimSun" w:hAnsi="SimSun" w:eastAsia="SimSun"/>
                <w:sz w:val="17"/>
              </w:rPr>
              <w:t>1.9</w:t>
            </w:r>
          </w:p>
        </w:tc>
      </w:tr>
      <w:tr>
        <w:tc>
          <w:tcPr>
            <w:tcW w:type="dxa" w:w="4320"/>
          </w:tcPr>
          <w:p>
            <w:pPr>
              <w:spacing w:before="20" w:after="20"/>
            </w:pPr>
            <w:r>
              <w:rPr>
                <w:rFonts w:ascii="SimSun" w:hAnsi="SimSun" w:eastAsia="SimSun"/>
                <w:sz w:val="17"/>
              </w:rPr>
              <w:t>8.5 可选实施方式（配准支持项）</w:t>
            </w:r>
          </w:p>
        </w:tc>
        <w:tc>
          <w:tcPr>
            <w:tcW w:type="dxa" w:w="4320"/>
          </w:tcPr>
          <w:p>
            <w:pPr>
              <w:spacing w:before="20" w:after="20"/>
            </w:pPr>
            <w:r>
              <w:rPr>
                <w:rFonts w:ascii="SimSun" w:hAnsi="SimSun" w:eastAsia="SimSun"/>
                <w:sz w:val="17"/>
              </w:rPr>
              <w:t>1.10</w:t>
            </w:r>
          </w:p>
        </w:tc>
      </w:tr>
      <w:tr>
        <w:tc>
          <w:tcPr>
            <w:tcW w:type="dxa" w:w="4320"/>
          </w:tcPr>
          <w:p>
            <w:pPr>
              <w:spacing w:before="20" w:after="20"/>
            </w:pPr>
            <w:r>
              <w:rPr>
                <w:rFonts w:ascii="SimSun" w:hAnsi="SimSun" w:eastAsia="SimSun"/>
                <w:sz w:val="17"/>
              </w:rPr>
              <w:t>8.7 执行规则的三种实现</w:t>
            </w:r>
          </w:p>
        </w:tc>
        <w:tc>
          <w:tcPr>
            <w:tcW w:type="dxa" w:w="4320"/>
          </w:tcPr>
          <w:p>
            <w:pPr>
              <w:spacing w:before="20" w:after="20"/>
            </w:pPr>
            <w:r>
              <w:rPr>
                <w:rFonts w:ascii="SimSun" w:hAnsi="SimSun" w:eastAsia="SimSun"/>
                <w:sz w:val="17"/>
              </w:rPr>
              <w:t>1.11</w:t>
            </w:r>
          </w:p>
        </w:tc>
      </w:tr>
      <w:tr>
        <w:tc>
          <w:tcPr>
            <w:tcW w:type="dxa" w:w="4320"/>
          </w:tcPr>
          <w:p>
            <w:pPr>
              <w:spacing w:before="20" w:after="20"/>
            </w:pPr>
            <w:r>
              <w:rPr>
                <w:rFonts w:ascii="SimSun" w:hAnsi="SimSun" w:eastAsia="SimSun"/>
                <w:sz w:val="17"/>
              </w:rPr>
              <w:t>11 节末 可选改进方向</w:t>
            </w:r>
          </w:p>
        </w:tc>
        <w:tc>
          <w:tcPr>
            <w:tcW w:type="dxa" w:w="4320"/>
          </w:tcPr>
          <w:p>
            <w:pPr>
              <w:spacing w:before="20" w:after="20"/>
            </w:pPr>
            <w:r>
              <w:rPr>
                <w:rFonts w:ascii="SimSun" w:hAnsi="SimSun" w:eastAsia="SimSun"/>
                <w:sz w:val="17"/>
              </w:rPr>
              <w:t>1.12</w:t>
            </w:r>
          </w:p>
        </w:tc>
      </w:tr>
      <w:tr>
        <w:tc>
          <w:tcPr>
            <w:tcW w:type="dxa" w:w="4320"/>
          </w:tcPr>
          <w:p>
            <w:pPr>
              <w:spacing w:before="20" w:after="20"/>
            </w:pPr>
            <w:r>
              <w:rPr>
                <w:rFonts w:ascii="SimSun" w:hAnsi="SimSun" w:eastAsia="SimSun"/>
                <w:sz w:val="17"/>
              </w:rPr>
              <w:t>6.2 末段 "构件"口径</w:t>
            </w:r>
          </w:p>
        </w:tc>
        <w:tc>
          <w:tcPr>
            <w:tcW w:type="dxa" w:w="4320"/>
          </w:tcPr>
          <w:p>
            <w:pPr>
              <w:spacing w:before="20" w:after="20"/>
            </w:pPr>
            <w:r>
              <w:rPr>
                <w:rFonts w:ascii="SimSun" w:hAnsi="SimSun" w:eastAsia="SimSun"/>
                <w:sz w:val="17"/>
              </w:rPr>
              <w:t>1.13</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