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b/>
          <w:sz w:val="28"/>
        </w:rPr>
        <w:t>一种基于IFC语义表面分块和多源证据融合的建筑点云缺口检测及补充扫描视点规划方法</w:t>
      </w:r>
    </w:p>
    <w:p>
      <w:pPr>
        <w:pStyle w:val="Heading1"/>
      </w:pPr>
      <w:r>
        <w:rPr>
          <w:rFonts w:ascii="黑体" w:hAnsi="黑体"/>
          <w:b/>
          <w:sz w:val="28"/>
        </w:rPr>
        <w:t>权利要求书</w:t>
      </w:r>
    </w:p>
    <w:p>
      <w:r>
        <w:rPr>
          <w:rFonts w:ascii="宋体" w:hAnsi="宋体"/>
          <w:b w:val="0"/>
          <w:sz w:val="21"/>
        </w:rPr>
        <w:t>1. 一种基于IFC语义表面分块和多源证据融合的建筑点云缺口检测及补充扫描视点规划方法，其特征在于，包括：</w:t>
        <w:br/>
        <w:t>获取建筑的IFC模型以及与所述建筑对应的三维点云；</w:t>
        <w:br/>
        <w:t>将所述IFC模型中的构件表面三角化，针对同一IFC构件内的三角面，根据共享边邻接关系以及三角面法向相似性进行区域生长，得到多个表面Patch；</w:t>
        <w:br/>
        <w:t>将所述三维点云通过刚性坐标变换与所述IFC模型所在坐标系对齐，并将点云点关联至满足距离阈值的最近IFC表面或Patch；</w:t>
        <w:br/>
        <w:t>针对每个Patch构造至少包括观测证据、几何覆盖证据、入射角度证据、IFC语义证据和材料证据中的多源证据；</w:t>
        <w:br/>
        <w:t>将所述多源证据分别转换为方向一致的缺口指标，其中缺口指标值越大表示对应Patch的信息缺口越大；</w:t>
        <w:br/>
        <w:t>针对每个Patch，在该Patch实际可用的缺口指标集合上对相应权重重新归一化，融合得到Patch缺口分数；</w:t>
        <w:br/>
        <w:t>根据Patch缺口分数筛选目标Patch；</w:t>
        <w:br/>
        <w:t>以目标Patch的中心和法向为基准，在多个距离、方位角和俯仰角组合下生成候选补充扫描视点；</w:t>
        <w:br/>
        <w:t>根据候选视点对Patch的可见性、入射正向性、距离质量、分辨率质量、Patch面积和Patch缺口分数计算候选视点价值；</w:t>
        <w:br/>
        <w:t>选择价值最高的候选视点作为下一补充扫描视点；</w:t>
        <w:br/>
        <w:t>根据补充扫描得到的新观测更新Patch的多源证据，并重复执行缺口分数计算、目标Patch筛选、候选视点生成和候选视点选择。</w:t>
      </w:r>
    </w:p>
    <w:p>
      <w:r>
        <w:rPr>
          <w:rFonts w:ascii="宋体" w:hAnsi="宋体"/>
          <w:b w:val="0"/>
          <w:sz w:val="21"/>
        </w:rPr>
        <w:t>2. 根据权利要求1所述的方法，其特征在于，所述区域生长在同一IFC构件内进行，并将两个三角面共享无向边作为邻接条件。</w:t>
      </w:r>
    </w:p>
    <w:p>
      <w:r>
        <w:rPr>
          <w:rFonts w:ascii="宋体" w:hAnsi="宋体"/>
          <w:b w:val="0"/>
          <w:sz w:val="21"/>
        </w:rPr>
        <w:t>3. 根据权利要求1或2所述的方法，其特征在于，将候选邻接三角面并入当前Patch时，同时满足候选邻接三角面的法向与当前扩展三角面的法向夹角小于预设阈值，以及候选邻接三角面的法向与区域生长种子三角面的法向夹角小于所述预设阈值。</w:t>
      </w:r>
    </w:p>
    <w:p>
      <w:r>
        <w:rPr>
          <w:rFonts w:ascii="宋体" w:hAnsi="宋体"/>
          <w:b w:val="0"/>
          <w:sz w:val="21"/>
        </w:rPr>
        <w:t>4. 根据权利要求1所述的方法，其特征在于，每个Patch记录Patch标识、所属IFC构件标识、构件类别、面积、面积加权中心、面积加权法向、材料名称和工程重要度中的至少一项。</w:t>
      </w:r>
    </w:p>
    <w:p>
      <w:r>
        <w:rPr>
          <w:rFonts w:ascii="宋体" w:hAnsi="宋体"/>
          <w:b w:val="0"/>
          <w:sz w:val="21"/>
        </w:rPr>
        <w:t>5. 根据权利要求1所述的方法，其特征在于，点云点与IFC表面之间的关联包括：对点云点施加粗配准平移和/或迭代最近点刚性细配准，随后计算点云点至IFC三角面的最近距离，并保留距离超过阈值的未匹配点统计。</w:t>
      </w:r>
    </w:p>
    <w:p>
      <w:r>
        <w:rPr>
          <w:rFonts w:ascii="宋体" w:hAnsi="宋体"/>
          <w:b w:val="0"/>
          <w:sz w:val="21"/>
        </w:rPr>
        <w:t>6. 根据权利要求1所述的方法，其特征在于，观测缺口指标由直接观测状态、有效视角数量、投影分辨率质量和配准置信度共同确定。</w:t>
      </w:r>
    </w:p>
    <w:p>
      <w:r>
        <w:rPr>
          <w:rFonts w:ascii="宋体" w:hAnsi="宋体"/>
          <w:b w:val="0"/>
          <w:sz w:val="21"/>
        </w:rPr>
        <w:t>7. 根据权利要求1所述的方法，其特征在于，角度缺口指标由最佳入射正向性、有效视角数量和角度多样性共同确定。</w:t>
      </w:r>
    </w:p>
    <w:p>
      <w:r>
        <w:rPr>
          <w:rFonts w:ascii="宋体" w:hAnsi="宋体"/>
          <w:b w:val="0"/>
          <w:sz w:val="21"/>
        </w:rPr>
        <w:t>8. 根据权利要求1所述的方法，其特征在于，几何缺口指标由Patch覆盖比例和点密度比例共同确定。</w:t>
      </w:r>
    </w:p>
    <w:p>
      <w:r>
        <w:rPr>
          <w:rFonts w:ascii="宋体" w:hAnsi="宋体"/>
          <w:b w:val="0"/>
          <w:sz w:val="21"/>
        </w:rPr>
        <w:t>9. 根据权利要求1所述的方法，其特征在于，语义缺口指标由IFC构件类别映射得到的语义分布与点云分类标签得到的语义分布之间的Jensen-Shannon散度确定。</w:t>
      </w:r>
    </w:p>
    <w:p>
      <w:r>
        <w:rPr>
          <w:rFonts w:ascii="宋体" w:hAnsi="宋体"/>
          <w:b w:val="0"/>
          <w:sz w:val="21"/>
        </w:rPr>
        <w:t>10. 根据权利要求1所述的方法，其特征在于，材料证据包括IFC材料是否存在以及IFC材料类别与点云颜色推断材料类别之间是否存在预设清晰冲突。</w:t>
      </w:r>
    </w:p>
    <w:p>
      <w:r>
        <w:rPr>
          <w:rFonts w:ascii="宋体" w:hAnsi="宋体"/>
          <w:b w:val="0"/>
          <w:sz w:val="21"/>
        </w:rPr>
        <w:t>11. 根据权利要求1所述的方法，其特征在于，所述Patch缺口分数为可用缺口指标的加权平均，缺失或不可计算的缺口指标不参与分母权重求和。</w:t>
      </w:r>
    </w:p>
    <w:p>
      <w:r>
        <w:rPr>
          <w:rFonts w:ascii="宋体" w:hAnsi="宋体"/>
          <w:b w:val="0"/>
          <w:sz w:val="21"/>
        </w:rPr>
        <w:t>12. 根据权利要求1所述的方法，其特征在于，候选视点价值为候选视点可见Patch的Patch缺口分数、Patch面积和视点质量的乘积求和，并扣除可见非目标Patch比例形成的冗余惩罚。</w:t>
      </w:r>
    </w:p>
    <w:p>
      <w:r>
        <w:rPr>
          <w:rFonts w:ascii="宋体" w:hAnsi="宋体"/>
          <w:b w:val="0"/>
          <w:sz w:val="21"/>
        </w:rPr>
        <w:t>13. 根据权利要求1所述的方法，其特征在于，根据Patch工程重要度对Patch缺口分数进行任务相关放大，并用于构件级排序或任务优先级排序。</w:t>
      </w:r>
    </w:p>
    <w:p>
      <w:r>
        <w:rPr>
          <w:rFonts w:ascii="宋体" w:hAnsi="宋体"/>
          <w:b w:val="0"/>
          <w:sz w:val="21"/>
        </w:rPr>
        <w:t>14. 一种基于IFC语义表面分块和多源证据融合的建筑点云缺口检测及补充扫描视点规划系统，其特征在于，包括：IFC解析与Patch生成模块、点云配准与关联模块、多源证据构造模块、缺口评分模块、候选视点生成模块、视点评分模块、闭环更新模块和交互展示模块；所述各模块被配置为执行权利要求1至13任一项所述的方法。</w:t>
      </w:r>
    </w:p>
    <w:p>
      <w:r>
        <w:rPr>
          <w:rFonts w:ascii="宋体" w:hAnsi="宋体"/>
          <w:b w:val="0"/>
          <w:sz w:val="21"/>
        </w:rPr>
        <w:t>15. 一种电子设备或计算机可读存储介质，其上存储有计算机程序，所述计算机程序被处理器执行时实现权利要求1至13任一项所述的方法。</w:t>
      </w:r>
    </w:p>
    <w:sectPr w:rsidR="00FC693F" w:rsidRPr="0006063C" w:rsidSect="00034616">
      <w:pgSz w:w="11906" w:h="16838"/>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