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00" w:after="80"/>
      </w:pPr>
      <w:r>
        <w:rPr>
          <w:rFonts w:ascii="SimHei" w:hAnsi="SimHei" w:eastAsia="SimHei"/>
          <w:color w:val="000000"/>
          <w:sz w:val="32"/>
        </w:rPr>
        <w:t>05 Frontier 探索基线对照（E8）</w:t>
      </w:r>
    </w:p>
    <w:p>
      <w:pPr>
        <w:spacing w:after="80"/>
        <w:jc w:val="both"/>
      </w:pPr>
      <w:r>
        <w:rPr>
          <w:rFonts w:ascii="SimSun" w:hAnsi="SimSun" w:eastAsia="SimSun"/>
        </w:rPr>
        <w:t xml:space="preserve">结果路径 仓库 </w:t>
      </w:r>
      <w:r>
        <w:rPr>
          <w:rFonts w:ascii="Consolas" w:hAnsi="Consolas" w:eastAsia="Consolas"/>
          <w:sz w:val="18"/>
        </w:rPr>
        <w:t>results/exp8/</w:t>
      </w:r>
      <w:r>
        <w:rPr>
          <w:rFonts w:ascii="SimSun" w:hAnsi="SimSun" w:eastAsia="SimSun"/>
        </w:rPr>
        <w:t xml:space="preserve">，汇总 </w:t>
      </w:r>
      <w:r>
        <w:rPr>
          <w:rFonts w:ascii="Consolas" w:hAnsi="Consolas" w:eastAsia="Consolas"/>
          <w:sz w:val="18"/>
        </w:rPr>
        <w:t>实验记录/E8_探索基线对照/汇总表与统计.md</w:t>
      </w:r>
      <w:r>
        <w:rPr>
          <w:rFonts w:ascii="SimSun" w:hAnsi="SimSun" w:eastAsia="SimSun"/>
        </w:rPr>
        <w:t xml:space="preserve">。commit </w:t>
      </w:r>
      <w:r>
        <w:rPr>
          <w:rFonts w:ascii="SimSun" w:hAnsi="SimSun" w:eastAsia="SimSun"/>
          <w:b/>
        </w:rPr>
        <w:t>`5116dae`</w:t>
      </w:r>
      <w:r>
        <w:rPr>
          <w:rFonts w:ascii="SimSun" w:hAnsi="SimSun" w:eastAsia="SimSun"/>
        </w:rPr>
        <w:t xml:space="preserve">，config_hash </w:t>
      </w:r>
      <w:r>
        <w:rPr>
          <w:rFonts w:ascii="Consolas" w:hAnsi="Consolas" w:eastAsia="Consolas"/>
          <w:sz w:val="18"/>
        </w:rPr>
        <w:t>53d9cde1a0</w:t>
      </w:r>
      <w:r>
        <w:rPr>
          <w:rFonts w:ascii="SimSun" w:hAnsi="SimSun" w:eastAsia="SimSun"/>
        </w:rPr>
        <w:t xml:space="preserve">。3 类场景 × 8 种子 × 2 先验档 × 3 方法 = </w:t>
      </w:r>
      <w:r>
        <w:rPr>
          <w:rFonts w:ascii="SimSun" w:hAnsi="SimSun" w:eastAsia="SimSun"/>
          <w:b/>
        </w:rPr>
        <w:t>144 次运行，全部 `status=ok`，`git_commit` 单一值</w:t>
      </w:r>
      <w:r>
        <w:rPr>
          <w:rFonts w:ascii="SimSun" w:hAnsi="SimSun" w:eastAsia="SimSun"/>
        </w:rPr>
        <w:t>。</w:t>
      </w:r>
    </w:p>
    <w:p>
      <w:pPr>
        <w:pStyle w:val="Heading2"/>
        <w:spacing w:before="200" w:after="80"/>
      </w:pPr>
      <w:r>
        <w:rPr>
          <w:rFonts w:ascii="SimHei" w:hAnsi="SimHei" w:eastAsia="SimHei"/>
          <w:color w:val="000000"/>
          <w:sz w:val="27"/>
        </w:rPr>
        <w:t>一、公平性设定</w:t>
      </w:r>
    </w:p>
    <w:p>
      <w:pPr>
        <w:spacing w:after="80"/>
        <w:jc w:val="both"/>
      </w:pPr>
      <w:r>
        <w:rPr>
          <w:rFonts w:ascii="SimSun" w:hAnsi="SimSun" w:eastAsia="SimSun"/>
        </w:rPr>
        <w:t>二者共用：平台与半径、传感器与量程、初始站集、路径预算（6 站 /400 m / 6 轮）、带电体禁入区、A\* 与距离场、去重半径、成本折算（路径 ＋ 单站架设当量）、以及</w:t>
      </w:r>
      <w:r>
        <w:rPr>
          <w:rFonts w:ascii="SimSun" w:hAnsi="SimSun" w:eastAsia="SimSun"/>
          <w:b/>
        </w:rPr>
        <w:t>同一个</w:t>
      </w:r>
      <w:r>
        <w:rPr>
          <w:rFonts w:ascii="SimSun" w:hAnsi="SimSun" w:eastAsia="SimSun"/>
        </w:rPr>
        <w:t xml:space="preserve"> </w:t>
      </w:r>
      <w:r>
        <w:rPr>
          <w:rFonts w:ascii="Consolas" w:hAnsi="Consolas" w:eastAsia="Consolas"/>
          <w:sz w:val="18"/>
        </w:rPr>
        <w:t>PlanningEnvGrid</w:t>
      </w:r>
      <w:r>
        <w:rPr>
          <w:rFonts w:ascii="SimSun" w:hAnsi="SimSun" w:eastAsia="SimSun"/>
        </w:rPr>
        <w:t xml:space="preserve"> 实现。</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pacing w:before="20" w:after="20"/>
            </w:pPr>
          </w:p>
        </w:tc>
        <w:tc>
          <w:tcPr>
            <w:tcW w:type="dxa" w:w="2880"/>
          </w:tcPr>
          <w:p>
            <w:pPr>
              <w:spacing w:before="20" w:after="20"/>
            </w:pPr>
            <w:r>
              <w:rPr>
                <w:rFonts w:ascii="SimSun" w:hAnsi="SimSun" w:eastAsia="SimSun"/>
                <w:b/>
                <w:sz w:val="17"/>
              </w:rPr>
              <w:t>收益口径</w:t>
            </w:r>
          </w:p>
        </w:tc>
        <w:tc>
          <w:tcPr>
            <w:tcW w:type="dxa" w:w="2880"/>
          </w:tcPr>
          <w:p>
            <w:pPr>
              <w:spacing w:before="20" w:after="20"/>
            </w:pPr>
            <w:r>
              <w:rPr>
                <w:rFonts w:ascii="SimSun" w:hAnsi="SimSun" w:eastAsia="SimSun"/>
                <w:b/>
                <w:sz w:val="17"/>
              </w:rPr>
              <w:t>候选集</w:t>
            </w:r>
          </w:p>
        </w:tc>
      </w:tr>
      <w:tr>
        <w:tc>
          <w:tcPr>
            <w:tcW w:type="dxa" w:w="2880"/>
          </w:tcPr>
          <w:p>
            <w:pPr>
              <w:spacing w:before="20" w:after="20"/>
            </w:pPr>
            <w:r>
              <w:rPr>
                <w:rFonts w:ascii="Consolas" w:hAnsi="Consolas" w:eastAsia="Consolas"/>
                <w:sz w:val="17"/>
              </w:rPr>
              <w:t>Bfrontier</w:t>
            </w:r>
          </w:p>
        </w:tc>
        <w:tc>
          <w:tcPr>
            <w:tcW w:type="dxa" w:w="2880"/>
          </w:tcPr>
          <w:p>
            <w:pPr>
              <w:spacing w:before="20" w:after="20"/>
            </w:pPr>
            <w:r>
              <w:rPr>
                <w:rFonts w:ascii="SimSun" w:hAnsi="SimSun" w:eastAsia="SimSun"/>
                <w:sz w:val="17"/>
              </w:rPr>
              <w:t>预计新揭示的未知栅格数（二维射线估计）</w:t>
            </w:r>
          </w:p>
        </w:tc>
        <w:tc>
          <w:tcPr>
            <w:tcW w:type="dxa" w:w="2880"/>
          </w:tcPr>
          <w:p>
            <w:pPr>
              <w:spacing w:before="20" w:after="20"/>
            </w:pPr>
            <w:r>
              <w:rPr>
                <w:rFonts w:ascii="SimSun" w:hAnsi="SimSun" w:eastAsia="SimSun"/>
                <w:sz w:val="17"/>
              </w:rPr>
              <w:t>frontier 栅格投影至邻近可站位置</w:t>
            </w:r>
          </w:p>
        </w:tc>
      </w:tr>
      <w:tr>
        <w:tc>
          <w:tcPr>
            <w:tcW w:type="dxa" w:w="2880"/>
          </w:tcPr>
          <w:p>
            <w:pPr>
              <w:spacing w:before="20" w:after="20"/>
            </w:pPr>
            <w:r>
              <w:rPr>
                <w:rFonts w:ascii="Consolas" w:hAnsi="Consolas" w:eastAsia="Consolas"/>
                <w:sz w:val="17"/>
              </w:rPr>
              <w:t>B10/B11</w:t>
            </w:r>
          </w:p>
        </w:tc>
        <w:tc>
          <w:tcPr>
            <w:tcW w:type="dxa" w:w="2880"/>
          </w:tcPr>
          <w:p>
            <w:pPr>
              <w:spacing w:before="20" w:after="20"/>
            </w:pPr>
            <w:r>
              <w:rPr>
                <w:rFonts w:ascii="SimSun" w:hAnsi="SimSun" w:eastAsia="SimSun"/>
                <w:sz w:val="17"/>
              </w:rPr>
              <w:t>目标缺口的加权补测量（公式 26–45）</w:t>
            </w:r>
          </w:p>
        </w:tc>
        <w:tc>
          <w:tcPr>
            <w:tcW w:type="dxa" w:w="2880"/>
          </w:tcPr>
          <w:p>
            <w:pPr>
              <w:spacing w:before="20" w:after="20"/>
            </w:pPr>
            <w:r>
              <w:rPr>
                <w:rFonts w:ascii="SimSun" w:hAnsi="SimSun" w:eastAsia="SimSun"/>
                <w:sz w:val="17"/>
              </w:rPr>
              <w:t>按目标分块生成的候选环</w:t>
            </w:r>
          </w:p>
        </w:tc>
      </w:tr>
    </w:tbl>
    <w:p/>
    <w:p>
      <w:pPr>
        <w:spacing w:after="80"/>
        <w:jc w:val="both"/>
      </w:pPr>
      <w:r>
        <w:rPr>
          <w:rFonts w:ascii="SimSun" w:hAnsi="SimSun" w:eastAsia="SimSun"/>
        </w:rPr>
        <w:t>候选集各按各自口径取：把本方法按目标张成的候选环交给 frontier 用，等于替它挑好了地方。</w:t>
      </w:r>
    </w:p>
    <w:p>
      <w:pPr>
        <w:spacing w:after="80"/>
        <w:jc w:val="both"/>
      </w:pPr>
      <w:r>
        <w:rPr>
          <w:rFonts w:ascii="SimSun" w:hAnsi="SimSun" w:eastAsia="SimSun"/>
          <w:b/>
        </w:rPr>
        <w:t>结果上二者用掉的预算完全相同</w:t>
      </w:r>
      <w:r>
        <w:rPr>
          <w:rFonts w:ascii="SimSun" w:hAnsi="SimSun" w:eastAsia="SimSun"/>
        </w:rPr>
        <w:t>：全部 144 次运行均执行满 6 站，终止原因全部为</w:t>
      </w:r>
      <w:r>
        <w:rPr>
          <w:rFonts w:ascii="Consolas" w:hAnsi="Consolas" w:eastAsia="Consolas"/>
          <w:sz w:val="18"/>
        </w:rPr>
        <w:t>rounds</w:t>
      </w:r>
      <w:r>
        <w:rPr>
          <w:rFonts w:ascii="SimSun" w:hAnsi="SimSun" w:eastAsia="SimSun"/>
        </w:rPr>
        <w:t>。</w:t>
      </w:r>
      <w:r>
        <w:rPr>
          <w:rFonts w:ascii="Consolas" w:hAnsi="Consolas" w:eastAsia="Consolas"/>
          <w:sz w:val="18"/>
        </w:rPr>
        <w:t>n_stations</w:t>
      </w:r>
      <w:r>
        <w:rPr>
          <w:rFonts w:ascii="SimSun" w:hAnsi="SimSun" w:eastAsia="SimSun"/>
        </w:rPr>
        <w:t xml:space="preserve"> 之差恒为 0。</w:t>
      </w:r>
    </w:p>
    <w:p>
      <w:pPr>
        <w:pStyle w:val="Heading2"/>
        <w:spacing w:before="200" w:after="80"/>
      </w:pPr>
      <w:r>
        <w:rPr>
          <w:rFonts w:ascii="SimHei" w:hAnsi="SimHei" w:eastAsia="SimHei"/>
          <w:color w:val="000000"/>
          <w:sz w:val="27"/>
        </w:rPr>
        <w:t>二、两处必须先交代的自查</w:t>
      </w:r>
    </w:p>
    <w:p>
      <w:pPr>
        <w:pStyle w:val="Heading3"/>
        <w:spacing w:before="120" w:after="80"/>
      </w:pPr>
      <w:r>
        <w:rPr>
          <w:rFonts w:ascii="SimHei" w:hAnsi="SimHei" w:eastAsia="SimHei"/>
          <w:color w:val="000000"/>
          <w:sz w:val="24"/>
        </w:rPr>
        <w:t>2.1 首版基线一站也走不出去</w:t>
      </w:r>
    </w:p>
    <w:p>
      <w:pPr>
        <w:spacing w:after="80"/>
        <w:jc w:val="both"/>
      </w:pPr>
      <w:r>
        <w:rPr>
          <w:rFonts w:ascii="SimSun" w:hAnsi="SimSun" w:eastAsia="SimSun"/>
        </w:rPr>
        <w:t>首版把 frontier 栅格</w:t>
      </w:r>
      <w:r>
        <w:rPr>
          <w:rFonts w:ascii="SimSun" w:hAnsi="SimSun" w:eastAsia="SimSun"/>
          <w:b/>
        </w:rPr>
        <w:t>本身</w:t>
      </w:r>
      <w:r>
        <w:rPr>
          <w:rFonts w:ascii="SimSun" w:hAnsi="SimSun" w:eastAsia="SimSun"/>
        </w:rPr>
        <w:t>当作导航目标，结果每个 episode 都是 0 站。原因：未知区按障碍处理，而 frontier 的定义就是紧贴未知区，按平台半径膨胀后</w:t>
      </w:r>
      <w:r>
        <w:rPr>
          <w:rFonts w:ascii="SimSun" w:hAnsi="SimSun" w:eastAsia="SimSun"/>
          <w:b/>
        </w:rPr>
        <w:t>实测 971 个 frontier栅格里可通行的是 0 个</w:t>
      </w:r>
      <w:r>
        <w:rPr>
          <w:rFonts w:ascii="SimSun" w:hAnsi="SimSun" w:eastAsia="SimSun"/>
        </w:rPr>
        <w:t>。这是实现把基线卡死了，不是 frontier 方法弱。改为驶向frontier *附近*的可站位置（标准做法）后基线正常。</w:t>
      </w:r>
    </w:p>
    <w:p>
      <w:pPr>
        <w:ind w:left="360"/>
      </w:pPr>
      <w:r>
        <w:rPr>
          <w:rFonts w:ascii="SimSun" w:hAnsi="SimSun" w:eastAsia="SimSun"/>
          <w:i/>
        </w:rPr>
        <w:t>一个走不动的基线不构成对照。若照此报出去，等于用一个被自己实现压垮的对手来证明本方法的优越性。</w:t>
      </w:r>
    </w:p>
    <w:p>
      <w:pPr>
        <w:pStyle w:val="Heading3"/>
        <w:spacing w:before="120" w:after="80"/>
      </w:pPr>
      <w:r>
        <w:rPr>
          <w:rFonts w:ascii="SimHei" w:hAnsi="SimHei" w:eastAsia="SimHei"/>
          <w:color w:val="000000"/>
          <w:sz w:val="24"/>
        </w:rPr>
        <w:t>2.2 一处</w:t>
      </w:r>
      <w:r>
        <w:rPr>
          <w:rFonts w:ascii="SimHei" w:hAnsi="SimHei" w:eastAsia="SimHei"/>
          <w:b/>
          <w:color w:val="000000"/>
          <w:sz w:val="24"/>
        </w:rPr>
        <w:t>已被推翻</w:t>
      </w:r>
      <w:r>
        <w:rPr>
          <w:rFonts w:ascii="SimHei" w:hAnsi="SimHei" w:eastAsia="SimHei"/>
          <w:color w:val="000000"/>
          <w:sz w:val="24"/>
        </w:rPr>
        <w:t>的归因</w:t>
      </w:r>
    </w:p>
    <w:p>
      <w:pPr>
        <w:spacing w:after="80"/>
        <w:jc w:val="both"/>
      </w:pPr>
      <w:r>
        <w:rPr>
          <w:rFonts w:ascii="SimSun" w:hAnsi="SimSun" w:eastAsia="SimSun"/>
        </w:rPr>
        <w:t xml:space="preserve">本文件的前一版（commit </w:t>
      </w:r>
      <w:r>
        <w:rPr>
          <w:rFonts w:ascii="Consolas" w:hAnsi="Consolas" w:eastAsia="Consolas"/>
          <w:sz w:val="18"/>
        </w:rPr>
        <w:t>a1fac1c</w:t>
      </w:r>
      <w:r>
        <w:rPr>
          <w:rFonts w:ascii="SimSun" w:hAnsi="SimSun" w:eastAsia="SimSun"/>
        </w:rPr>
        <w:t xml:space="preserve"> 的数据）中，frontier 平均只用 3.9 站、13/24 组以候选池枯竭终止，我据此写下：「frontier 提前收工的原因是它的目标函数自己饱和了。」</w:t>
      </w:r>
    </w:p>
    <w:p>
      <w:pPr>
        <w:spacing w:after="80"/>
        <w:jc w:val="both"/>
      </w:pPr>
      <w:r>
        <w:rPr>
          <w:rFonts w:ascii="SimSun" w:hAnsi="SimSun" w:eastAsia="SimSun"/>
          <w:b/>
        </w:rPr>
        <w:t>该归因是错的。</w:t>
      </w:r>
      <w:r>
        <w:rPr>
          <w:rFonts w:ascii="SimSun" w:hAnsi="SimSun" w:eastAsia="SimSun"/>
        </w:rPr>
        <w:t xml:space="preserve"> 真实原因是「平台被卡在自己正站着的位置上」这个缺陷（见</w:t>
      </w:r>
      <w:r>
        <w:rPr>
          <w:rFonts w:ascii="Consolas" w:hAnsi="Consolas" w:eastAsia="Consolas"/>
          <w:sz w:val="18"/>
        </w:rPr>
        <w:t>03_代码修改与测试记录_FINAL.md</w:t>
      </w:r>
      <w:r>
        <w:rPr>
          <w:rFonts w:ascii="SimSun" w:hAnsi="SimSun" w:eastAsia="SimSun"/>
        </w:rPr>
        <w:t xml:space="preserve"> 第 4.4 节），它对 frontier 同样生效。修复后重跑：</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pacing w:before="20" w:after="20"/>
            </w:pPr>
          </w:p>
        </w:tc>
        <w:tc>
          <w:tcPr>
            <w:tcW w:type="dxa" w:w="2880"/>
          </w:tcPr>
          <w:p>
            <w:pPr>
              <w:spacing w:before="20" w:after="20"/>
            </w:pPr>
            <w:r>
              <w:rPr>
                <w:rFonts w:ascii="SimSun" w:hAnsi="SimSun" w:eastAsia="SimSun"/>
                <w:b/>
                <w:sz w:val="17"/>
              </w:rPr>
              <w:t>修复前</w:t>
            </w:r>
          </w:p>
        </w:tc>
        <w:tc>
          <w:tcPr>
            <w:tcW w:type="dxa" w:w="2880"/>
          </w:tcPr>
          <w:p>
            <w:pPr>
              <w:spacing w:before="20" w:after="20"/>
            </w:pPr>
            <w:r>
              <w:rPr>
                <w:rFonts w:ascii="SimSun" w:hAnsi="SimSun" w:eastAsia="SimSun"/>
                <w:b/>
                <w:sz w:val="17"/>
              </w:rPr>
              <w:t>修复后</w:t>
            </w:r>
          </w:p>
        </w:tc>
      </w:tr>
      <w:tr>
        <w:tc>
          <w:tcPr>
            <w:tcW w:type="dxa" w:w="2880"/>
          </w:tcPr>
          <w:p>
            <w:pPr>
              <w:spacing w:before="20" w:after="20"/>
            </w:pPr>
            <w:r>
              <w:rPr>
                <w:rFonts w:ascii="SimSun" w:hAnsi="SimSun" w:eastAsia="SimSun"/>
                <w:sz w:val="17"/>
              </w:rPr>
              <w:t>frontier 平均站数</w:t>
            </w:r>
          </w:p>
        </w:tc>
        <w:tc>
          <w:tcPr>
            <w:tcW w:type="dxa" w:w="2880"/>
          </w:tcPr>
          <w:p>
            <w:pPr>
              <w:spacing w:before="20" w:after="20"/>
            </w:pPr>
            <w:r>
              <w:rPr>
                <w:rFonts w:ascii="SimSun" w:hAnsi="SimSun" w:eastAsia="SimSun"/>
                <w:sz w:val="17"/>
              </w:rPr>
              <w:t>3.875</w:t>
            </w:r>
          </w:p>
        </w:tc>
        <w:tc>
          <w:tcPr>
            <w:tcW w:type="dxa" w:w="2880"/>
          </w:tcPr>
          <w:p>
            <w:pPr>
              <w:spacing w:before="20" w:after="20"/>
            </w:pPr>
            <w:r>
              <w:rPr>
                <w:rFonts w:ascii="SimSun" w:hAnsi="SimSun" w:eastAsia="SimSun"/>
                <w:b/>
                <w:sz w:val="17"/>
              </w:rPr>
              <w:t>6.000</w:t>
            </w:r>
          </w:p>
        </w:tc>
      </w:tr>
      <w:tr>
        <w:tc>
          <w:tcPr>
            <w:tcW w:type="dxa" w:w="2880"/>
          </w:tcPr>
          <w:p>
            <w:pPr>
              <w:spacing w:before="20" w:after="20"/>
            </w:pPr>
            <w:r>
              <w:rPr>
                <w:rFonts w:ascii="SimSun" w:hAnsi="SimSun" w:eastAsia="SimSun"/>
                <w:sz w:val="17"/>
              </w:rPr>
              <w:t>以候选池枯竭终止</w:t>
            </w:r>
          </w:p>
        </w:tc>
        <w:tc>
          <w:tcPr>
            <w:tcW w:type="dxa" w:w="2880"/>
          </w:tcPr>
          <w:p>
            <w:pPr>
              <w:spacing w:before="20" w:after="20"/>
            </w:pPr>
            <w:r>
              <w:rPr>
                <w:rFonts w:ascii="SimSun" w:hAnsi="SimSun" w:eastAsia="SimSun"/>
                <w:sz w:val="17"/>
              </w:rPr>
              <w:t>13 / 24</w:t>
            </w:r>
          </w:p>
        </w:tc>
        <w:tc>
          <w:tcPr>
            <w:tcW w:type="dxa" w:w="2880"/>
          </w:tcPr>
          <w:p>
            <w:pPr>
              <w:spacing w:before="20" w:after="20"/>
            </w:pPr>
            <w:r>
              <w:rPr>
                <w:rFonts w:ascii="SimSun" w:hAnsi="SimSun" w:eastAsia="SimSun"/>
                <w:b/>
                <w:sz w:val="17"/>
              </w:rPr>
              <w:t>0 / 24</w:t>
            </w:r>
          </w:p>
        </w:tc>
      </w:tr>
    </w:tbl>
    <w:p/>
    <w:p>
      <w:pPr>
        <w:spacing w:after="80"/>
        <w:jc w:val="both"/>
      </w:pPr>
      <w:r>
        <w:rPr>
          <w:rFonts w:ascii="SimSun" w:hAnsi="SimSun" w:eastAsia="SimSun"/>
        </w:rPr>
        <w:t>一个看似合理、且对本方法有利的解释，实际上是我自己实现缺陷的表现。当时给它标了「待重跑复核」而没有让它作为结论留下 —— 本节保留这段记录。</w:t>
      </w:r>
    </w:p>
    <w:p>
      <w:pPr>
        <w:spacing w:after="80"/>
        <w:jc w:val="both"/>
      </w:pPr>
      <w:r>
        <w:rPr>
          <w:rFonts w:ascii="SimSun" w:hAnsi="SimSun" w:eastAsia="SimSun"/>
        </w:rPr>
        <w:t>（因此「等站数对照」一节在修复后已无独立意义：两方站数本就相同。汇总表中仍保留该节以备核对。）</w:t>
      </w:r>
    </w:p>
    <w:p>
      <w:pPr>
        <w:pStyle w:val="Heading2"/>
        <w:spacing w:before="200" w:after="80"/>
      </w:pPr>
      <w:r>
        <w:rPr>
          <w:rFonts w:ascii="SimHei" w:hAnsi="SimHei" w:eastAsia="SimHei"/>
          <w:color w:val="000000"/>
          <w:sz w:val="27"/>
        </w:rPr>
        <w:t>三、主结果（P0 档，24 组配对，置换检验 ＋ Holm）</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spacing w:before="20" w:after="20"/>
            </w:pPr>
            <w:r>
              <w:rPr>
                <w:rFonts w:ascii="SimSun" w:hAnsi="SimSun" w:eastAsia="SimSun"/>
                <w:b/>
                <w:sz w:val="17"/>
              </w:rPr>
              <w:t>指标</w:t>
            </w:r>
          </w:p>
        </w:tc>
        <w:tc>
          <w:tcPr>
            <w:tcW w:type="dxa" w:w="1440"/>
          </w:tcPr>
          <w:p>
            <w:pPr>
              <w:spacing w:before="20" w:after="20"/>
            </w:pPr>
            <w:r>
              <w:rPr>
                <w:rFonts w:ascii="SimSun" w:hAnsi="SimSun" w:eastAsia="SimSun"/>
                <w:b/>
                <w:sz w:val="17"/>
              </w:rPr>
              <w:t>Bfrontier</w:t>
            </w:r>
          </w:p>
        </w:tc>
        <w:tc>
          <w:tcPr>
            <w:tcW w:type="dxa" w:w="1440"/>
          </w:tcPr>
          <w:p>
            <w:pPr>
              <w:spacing w:before="20" w:after="20"/>
            </w:pPr>
            <w:r>
              <w:rPr>
                <w:rFonts w:ascii="SimSun" w:hAnsi="SimSun" w:eastAsia="SimSun"/>
                <w:b/>
                <w:sz w:val="17"/>
              </w:rPr>
              <w:t>B10_full</w:t>
            </w:r>
          </w:p>
        </w:tc>
        <w:tc>
          <w:tcPr>
            <w:tcW w:type="dxa" w:w="1440"/>
          </w:tcPr>
          <w:p>
            <w:pPr>
              <w:spacing w:before="20" w:after="20"/>
            </w:pPr>
            <w:r>
              <w:rPr>
                <w:rFonts w:ascii="SimSun" w:hAnsi="SimSun" w:eastAsia="SimSun"/>
                <w:b/>
                <w:sz w:val="17"/>
              </w:rPr>
              <w:t>B11_disc</w:t>
            </w:r>
          </w:p>
        </w:tc>
        <w:tc>
          <w:tcPr>
            <w:tcW w:type="dxa" w:w="1440"/>
          </w:tcPr>
          <w:p>
            <w:pPr>
              <w:spacing w:before="20" w:after="20"/>
            </w:pPr>
            <w:r>
              <w:rPr>
                <w:rFonts w:ascii="SimSun" w:hAnsi="SimSun" w:eastAsia="SimSun"/>
                <w:b/>
                <w:sz w:val="17"/>
              </w:rPr>
              <w:t>Δ(B11−fr)</w:t>
            </w:r>
          </w:p>
        </w:tc>
        <w:tc>
          <w:tcPr>
            <w:tcW w:type="dxa" w:w="1440"/>
          </w:tcPr>
          <w:p>
            <w:pPr>
              <w:spacing w:before="20" w:after="20"/>
            </w:pPr>
            <w:r>
              <w:rPr>
                <w:rFonts w:ascii="SimSun" w:hAnsi="SimSun" w:eastAsia="SimSun"/>
                <w:b/>
                <w:sz w:val="17"/>
              </w:rPr>
              <w:t>p_holm</w:t>
            </w:r>
          </w:p>
        </w:tc>
      </w:tr>
      <w:tr>
        <w:tc>
          <w:tcPr>
            <w:tcW w:type="dxa" w:w="1440"/>
          </w:tcPr>
          <w:p>
            <w:pPr>
              <w:spacing w:before="20" w:after="20"/>
            </w:pPr>
            <w:r>
              <w:rPr>
                <w:rFonts w:ascii="SimSun" w:hAnsi="SimSun" w:eastAsia="SimSun"/>
                <w:b/>
                <w:sz w:val="17"/>
              </w:rPr>
              <w:t>地图覆盖</w:t>
            </w:r>
            <w:r>
              <w:rPr>
                <w:rFonts w:ascii="SimSun" w:hAnsi="SimSun" w:eastAsia="SimSun"/>
                <w:sz w:val="17"/>
              </w:rPr>
              <w:t>（frontier 的目标）</w:t>
            </w:r>
          </w:p>
        </w:tc>
        <w:tc>
          <w:tcPr>
            <w:tcW w:type="dxa" w:w="1440"/>
          </w:tcPr>
          <w:p>
            <w:pPr>
              <w:spacing w:before="20" w:after="20"/>
            </w:pPr>
            <w:r>
              <w:rPr>
                <w:rFonts w:ascii="SimSun" w:hAnsi="SimSun" w:eastAsia="SimSun"/>
                <w:b/>
                <w:sz w:val="17"/>
              </w:rPr>
              <w:t>0.952</w:t>
            </w:r>
          </w:p>
        </w:tc>
        <w:tc>
          <w:tcPr>
            <w:tcW w:type="dxa" w:w="1440"/>
          </w:tcPr>
          <w:p>
            <w:pPr>
              <w:spacing w:before="20" w:after="20"/>
            </w:pPr>
            <w:r>
              <w:rPr>
                <w:rFonts w:ascii="SimSun" w:hAnsi="SimSun" w:eastAsia="SimSun"/>
                <w:sz w:val="17"/>
              </w:rPr>
              <w:t>0.949</w:t>
            </w:r>
          </w:p>
        </w:tc>
        <w:tc>
          <w:tcPr>
            <w:tcW w:type="dxa" w:w="1440"/>
          </w:tcPr>
          <w:p>
            <w:pPr>
              <w:spacing w:before="20" w:after="20"/>
            </w:pPr>
            <w:r>
              <w:rPr>
                <w:rFonts w:ascii="SimSun" w:hAnsi="SimSun" w:eastAsia="SimSun"/>
                <w:sz w:val="17"/>
              </w:rPr>
              <w:t>0.949</w:t>
            </w:r>
          </w:p>
        </w:tc>
        <w:tc>
          <w:tcPr>
            <w:tcW w:type="dxa" w:w="1440"/>
          </w:tcPr>
          <w:p>
            <w:pPr>
              <w:spacing w:before="20" w:after="20"/>
            </w:pPr>
            <w:r>
              <w:rPr>
                <w:rFonts w:ascii="SimSun" w:hAnsi="SimSun" w:eastAsia="SimSun"/>
                <w:sz w:val="17"/>
              </w:rPr>
              <w:t>−0.003</w:t>
            </w:r>
          </w:p>
        </w:tc>
        <w:tc>
          <w:tcPr>
            <w:tcW w:type="dxa" w:w="1440"/>
          </w:tcPr>
          <w:p>
            <w:pPr>
              <w:spacing w:before="20" w:after="20"/>
            </w:pPr>
            <w:r>
              <w:rPr>
                <w:rFonts w:ascii="SimSun" w:hAnsi="SimSun" w:eastAsia="SimSun"/>
                <w:sz w:val="17"/>
              </w:rPr>
              <w:t>0.1300</w:t>
            </w:r>
          </w:p>
        </w:tc>
      </w:tr>
      <w:tr>
        <w:tc>
          <w:tcPr>
            <w:tcW w:type="dxa" w:w="1440"/>
          </w:tcPr>
          <w:p>
            <w:pPr>
              <w:spacing w:before="20" w:after="20"/>
            </w:pPr>
            <w:r>
              <w:rPr>
                <w:rFonts w:ascii="SimSun" w:hAnsi="SimSun" w:eastAsia="SimSun"/>
                <w:sz w:val="17"/>
              </w:rPr>
              <w:t>面积加权缺口恢复</w:t>
            </w:r>
          </w:p>
        </w:tc>
        <w:tc>
          <w:tcPr>
            <w:tcW w:type="dxa" w:w="1440"/>
          </w:tcPr>
          <w:p>
            <w:pPr>
              <w:spacing w:before="20" w:after="20"/>
            </w:pPr>
            <w:r>
              <w:rPr>
                <w:rFonts w:ascii="SimSun" w:hAnsi="SimSun" w:eastAsia="SimSun"/>
                <w:sz w:val="17"/>
              </w:rPr>
              <w:t>0.797</w:t>
            </w:r>
          </w:p>
        </w:tc>
        <w:tc>
          <w:tcPr>
            <w:tcW w:type="dxa" w:w="1440"/>
          </w:tcPr>
          <w:p>
            <w:pPr>
              <w:spacing w:before="20" w:after="20"/>
            </w:pPr>
            <w:r>
              <w:rPr>
                <w:rFonts w:ascii="SimSun" w:hAnsi="SimSun" w:eastAsia="SimSun"/>
                <w:sz w:val="17"/>
              </w:rPr>
              <w:t>0.898</w:t>
            </w:r>
          </w:p>
        </w:tc>
        <w:tc>
          <w:tcPr>
            <w:tcW w:type="dxa" w:w="1440"/>
          </w:tcPr>
          <w:p>
            <w:pPr>
              <w:spacing w:before="20" w:after="20"/>
            </w:pPr>
            <w:r>
              <w:rPr>
                <w:rFonts w:ascii="SimSun" w:hAnsi="SimSun" w:eastAsia="SimSun"/>
                <w:b/>
                <w:sz w:val="17"/>
              </w:rPr>
              <w:t>0.970</w:t>
            </w:r>
          </w:p>
        </w:tc>
        <w:tc>
          <w:tcPr>
            <w:tcW w:type="dxa" w:w="1440"/>
          </w:tcPr>
          <w:p>
            <w:pPr>
              <w:spacing w:before="20" w:after="20"/>
            </w:pPr>
            <w:r>
              <w:rPr>
                <w:rFonts w:ascii="SimSun" w:hAnsi="SimSun" w:eastAsia="SimSun"/>
                <w:sz w:val="17"/>
              </w:rPr>
              <w:t>+0.176</w:t>
            </w:r>
          </w:p>
        </w:tc>
        <w:tc>
          <w:tcPr>
            <w:tcW w:type="dxa" w:w="1440"/>
          </w:tcPr>
          <w:p>
            <w:pPr>
              <w:spacing w:before="20" w:after="20"/>
            </w:pPr>
            <w:r>
              <w:rPr>
                <w:rFonts w:ascii="SimSun" w:hAnsi="SimSun" w:eastAsia="SimSun"/>
                <w:sz w:val="17"/>
              </w:rPr>
              <w:t>0.0040</w:t>
            </w:r>
          </w:p>
        </w:tc>
      </w:tr>
      <w:tr>
        <w:tc>
          <w:tcPr>
            <w:tcW w:type="dxa" w:w="1440"/>
          </w:tcPr>
          <w:p>
            <w:pPr>
              <w:spacing w:before="20" w:after="20"/>
            </w:pPr>
            <w:r>
              <w:rPr>
                <w:rFonts w:ascii="SimSun" w:hAnsi="SimSun" w:eastAsia="SimSun"/>
                <w:b/>
                <w:sz w:val="17"/>
              </w:rPr>
              <w:t>资产级恢复</w:t>
            </w:r>
          </w:p>
        </w:tc>
        <w:tc>
          <w:tcPr>
            <w:tcW w:type="dxa" w:w="1440"/>
          </w:tcPr>
          <w:p>
            <w:pPr>
              <w:spacing w:before="20" w:after="20"/>
            </w:pPr>
            <w:r>
              <w:rPr>
                <w:rFonts w:ascii="SimSun" w:hAnsi="SimSun" w:eastAsia="SimSun"/>
                <w:sz w:val="17"/>
              </w:rPr>
              <w:t>0.523</w:t>
            </w:r>
          </w:p>
        </w:tc>
        <w:tc>
          <w:tcPr>
            <w:tcW w:type="dxa" w:w="1440"/>
          </w:tcPr>
          <w:p>
            <w:pPr>
              <w:spacing w:before="20" w:after="20"/>
            </w:pPr>
            <w:r>
              <w:rPr>
                <w:rFonts w:ascii="SimSun" w:hAnsi="SimSun" w:eastAsia="SimSun"/>
                <w:sz w:val="17"/>
              </w:rPr>
              <w:t>0.830</w:t>
            </w:r>
          </w:p>
        </w:tc>
        <w:tc>
          <w:tcPr>
            <w:tcW w:type="dxa" w:w="1440"/>
          </w:tcPr>
          <w:p>
            <w:pPr>
              <w:spacing w:before="20" w:after="20"/>
            </w:pPr>
            <w:r>
              <w:rPr>
                <w:rFonts w:ascii="SimSun" w:hAnsi="SimSun" w:eastAsia="SimSun"/>
                <w:b/>
                <w:sz w:val="17"/>
              </w:rPr>
              <w:t>0.922</w:t>
            </w:r>
          </w:p>
        </w:tc>
        <w:tc>
          <w:tcPr>
            <w:tcW w:type="dxa" w:w="1440"/>
          </w:tcPr>
          <w:p>
            <w:pPr>
              <w:spacing w:before="20" w:after="20"/>
            </w:pPr>
            <w:r>
              <w:rPr>
                <w:rFonts w:ascii="SimSun" w:hAnsi="SimSun" w:eastAsia="SimSun"/>
                <w:b/>
                <w:sz w:val="17"/>
              </w:rPr>
              <w:t>+0.399</w:t>
            </w:r>
          </w:p>
        </w:tc>
        <w:tc>
          <w:tcPr>
            <w:tcW w:type="dxa" w:w="1440"/>
          </w:tcPr>
          <w:p>
            <w:pPr>
              <w:spacing w:before="20" w:after="20"/>
            </w:pPr>
            <w:r>
              <w:rPr>
                <w:rFonts w:ascii="SimSun" w:hAnsi="SimSun" w:eastAsia="SimSun"/>
                <w:sz w:val="17"/>
              </w:rPr>
              <w:t>0.0040</w:t>
            </w:r>
          </w:p>
        </w:tc>
      </w:tr>
      <w:tr>
        <w:tc>
          <w:tcPr>
            <w:tcW w:type="dxa" w:w="1440"/>
          </w:tcPr>
          <w:p>
            <w:pPr>
              <w:spacing w:before="20" w:after="20"/>
            </w:pPr>
            <w:r>
              <w:rPr>
                <w:rFonts w:ascii="SimSun" w:hAnsi="SimSun" w:eastAsia="SimSun"/>
                <w:sz w:val="17"/>
              </w:rPr>
              <w:t>关键设备召回</w:t>
            </w:r>
          </w:p>
        </w:tc>
        <w:tc>
          <w:tcPr>
            <w:tcW w:type="dxa" w:w="1440"/>
          </w:tcPr>
          <w:p>
            <w:pPr>
              <w:spacing w:before="20" w:after="20"/>
            </w:pPr>
            <w:r>
              <w:rPr>
                <w:rFonts w:ascii="SimSun" w:hAnsi="SimSun" w:eastAsia="SimSun"/>
                <w:sz w:val="17"/>
              </w:rPr>
              <w:t>0.508</w:t>
            </w:r>
          </w:p>
        </w:tc>
        <w:tc>
          <w:tcPr>
            <w:tcW w:type="dxa" w:w="1440"/>
          </w:tcPr>
          <w:p>
            <w:pPr>
              <w:spacing w:before="20" w:after="20"/>
            </w:pPr>
            <w:r>
              <w:rPr>
                <w:rFonts w:ascii="SimSun" w:hAnsi="SimSun" w:eastAsia="SimSun"/>
                <w:sz w:val="17"/>
              </w:rPr>
              <w:t>0.834</w:t>
            </w:r>
          </w:p>
        </w:tc>
        <w:tc>
          <w:tcPr>
            <w:tcW w:type="dxa" w:w="1440"/>
          </w:tcPr>
          <w:p>
            <w:pPr>
              <w:spacing w:before="20" w:after="20"/>
            </w:pPr>
            <w:r>
              <w:rPr>
                <w:rFonts w:ascii="SimSun" w:hAnsi="SimSun" w:eastAsia="SimSun"/>
                <w:b/>
                <w:sz w:val="17"/>
              </w:rPr>
              <w:t>0.931</w:t>
            </w:r>
          </w:p>
        </w:tc>
        <w:tc>
          <w:tcPr>
            <w:tcW w:type="dxa" w:w="1440"/>
          </w:tcPr>
          <w:p>
            <w:pPr>
              <w:spacing w:before="20" w:after="20"/>
            </w:pPr>
            <w:r>
              <w:rPr>
                <w:rFonts w:ascii="SimSun" w:hAnsi="SimSun" w:eastAsia="SimSun"/>
                <w:sz w:val="17"/>
              </w:rPr>
              <w:t>+0.425</w:t>
            </w:r>
          </w:p>
        </w:tc>
        <w:tc>
          <w:tcPr>
            <w:tcW w:type="dxa" w:w="1440"/>
          </w:tcPr>
          <w:p>
            <w:pPr>
              <w:spacing w:before="20" w:after="20"/>
            </w:pPr>
            <w:r>
              <w:rPr>
                <w:rFonts w:ascii="SimSun" w:hAnsi="SimSun" w:eastAsia="SimSun"/>
                <w:sz w:val="17"/>
              </w:rPr>
              <w:t>0.0040</w:t>
            </w:r>
          </w:p>
        </w:tc>
      </w:tr>
      <w:tr>
        <w:tc>
          <w:tcPr>
            <w:tcW w:type="dxa" w:w="1440"/>
          </w:tcPr>
          <w:p>
            <w:pPr>
              <w:spacing w:before="20" w:after="20"/>
            </w:pPr>
            <w:r>
              <w:rPr>
                <w:rFonts w:ascii="SimSun" w:hAnsi="SimSun" w:eastAsia="SimSun"/>
                <w:sz w:val="17"/>
              </w:rPr>
              <w:t>密度达标率</w:t>
            </w:r>
          </w:p>
        </w:tc>
        <w:tc>
          <w:tcPr>
            <w:tcW w:type="dxa" w:w="1440"/>
          </w:tcPr>
          <w:p>
            <w:pPr>
              <w:spacing w:before="20" w:after="20"/>
            </w:pPr>
            <w:r>
              <w:rPr>
                <w:rFonts w:ascii="SimSun" w:hAnsi="SimSun" w:eastAsia="SimSun"/>
                <w:sz w:val="17"/>
              </w:rPr>
              <w:t>0.422</w:t>
            </w:r>
          </w:p>
        </w:tc>
        <w:tc>
          <w:tcPr>
            <w:tcW w:type="dxa" w:w="1440"/>
          </w:tcPr>
          <w:p>
            <w:pPr>
              <w:spacing w:before="20" w:after="20"/>
            </w:pPr>
            <w:r>
              <w:rPr>
                <w:rFonts w:ascii="SimSun" w:hAnsi="SimSun" w:eastAsia="SimSun"/>
                <w:sz w:val="17"/>
              </w:rPr>
              <w:t>0.565</w:t>
            </w:r>
          </w:p>
        </w:tc>
        <w:tc>
          <w:tcPr>
            <w:tcW w:type="dxa" w:w="1440"/>
          </w:tcPr>
          <w:p>
            <w:pPr>
              <w:spacing w:before="20" w:after="20"/>
            </w:pPr>
            <w:r>
              <w:rPr>
                <w:rFonts w:ascii="SimSun" w:hAnsi="SimSun" w:eastAsia="SimSun"/>
                <w:b/>
                <w:sz w:val="17"/>
              </w:rPr>
              <w:t>0.599</w:t>
            </w:r>
          </w:p>
        </w:tc>
        <w:tc>
          <w:tcPr>
            <w:tcW w:type="dxa" w:w="1440"/>
          </w:tcPr>
          <w:p>
            <w:pPr>
              <w:spacing w:before="20" w:after="20"/>
            </w:pPr>
            <w:r>
              <w:rPr>
                <w:rFonts w:ascii="SimSun" w:hAnsi="SimSun" w:eastAsia="SimSun"/>
                <w:sz w:val="17"/>
              </w:rPr>
              <w:t>+0.186</w:t>
            </w:r>
          </w:p>
        </w:tc>
        <w:tc>
          <w:tcPr>
            <w:tcW w:type="dxa" w:w="1440"/>
          </w:tcPr>
          <w:p>
            <w:pPr>
              <w:spacing w:before="20" w:after="20"/>
            </w:pPr>
            <w:r>
              <w:rPr>
                <w:rFonts w:ascii="SimSun" w:hAnsi="SimSun" w:eastAsia="SimSun"/>
                <w:sz w:val="17"/>
              </w:rPr>
              <w:t>0.0040</w:t>
            </w:r>
          </w:p>
        </w:tc>
      </w:tr>
      <w:tr>
        <w:tc>
          <w:tcPr>
            <w:tcW w:type="dxa" w:w="1440"/>
          </w:tcPr>
          <w:p>
            <w:pPr>
              <w:spacing w:before="20" w:after="20"/>
            </w:pPr>
            <w:r>
              <w:rPr>
                <w:rFonts w:ascii="SimSun" w:hAnsi="SimSun" w:eastAsia="SimSun"/>
                <w:b/>
                <w:sz w:val="17"/>
              </w:rPr>
              <w:t>路径长度 m</w:t>
            </w:r>
          </w:p>
        </w:tc>
        <w:tc>
          <w:tcPr>
            <w:tcW w:type="dxa" w:w="1440"/>
          </w:tcPr>
          <w:p>
            <w:pPr>
              <w:spacing w:before="20" w:after="20"/>
            </w:pPr>
            <w:r>
              <w:rPr>
                <w:rFonts w:ascii="SimSun" w:hAnsi="SimSun" w:eastAsia="SimSun"/>
                <w:sz w:val="17"/>
              </w:rPr>
              <w:t>166.0</w:t>
            </w:r>
          </w:p>
        </w:tc>
        <w:tc>
          <w:tcPr>
            <w:tcW w:type="dxa" w:w="1440"/>
          </w:tcPr>
          <w:p>
            <w:pPr>
              <w:spacing w:before="20" w:after="20"/>
            </w:pPr>
            <w:r>
              <w:rPr>
                <w:rFonts w:ascii="SimSun" w:hAnsi="SimSun" w:eastAsia="SimSun"/>
                <w:sz w:val="17"/>
              </w:rPr>
              <w:t>129.8</w:t>
            </w:r>
          </w:p>
        </w:tc>
        <w:tc>
          <w:tcPr>
            <w:tcW w:type="dxa" w:w="1440"/>
          </w:tcPr>
          <w:p>
            <w:pPr>
              <w:spacing w:before="20" w:after="20"/>
            </w:pPr>
            <w:r>
              <w:rPr>
                <w:rFonts w:ascii="SimSun" w:hAnsi="SimSun" w:eastAsia="SimSun"/>
                <w:b/>
                <w:sz w:val="17"/>
              </w:rPr>
              <w:t>155.5</w:t>
            </w:r>
          </w:p>
        </w:tc>
        <w:tc>
          <w:tcPr>
            <w:tcW w:type="dxa" w:w="1440"/>
          </w:tcPr>
          <w:p>
            <w:pPr>
              <w:spacing w:before="20" w:after="20"/>
            </w:pPr>
            <w:r>
              <w:rPr>
                <w:rFonts w:ascii="SimSun" w:hAnsi="SimSun" w:eastAsia="SimSun"/>
                <w:sz w:val="17"/>
              </w:rPr>
              <w:t>−10.51</w:t>
            </w:r>
          </w:p>
        </w:tc>
        <w:tc>
          <w:tcPr>
            <w:tcW w:type="dxa" w:w="1440"/>
          </w:tcPr>
          <w:p>
            <w:pPr>
              <w:spacing w:before="20" w:after="20"/>
            </w:pPr>
            <w:r>
              <w:rPr>
                <w:rFonts w:ascii="SimSun" w:hAnsi="SimSun" w:eastAsia="SimSun"/>
                <w:sz w:val="17"/>
              </w:rPr>
              <w:t>1.0000</w:t>
            </w:r>
          </w:p>
        </w:tc>
      </w:tr>
      <w:tr>
        <w:tc>
          <w:tcPr>
            <w:tcW w:type="dxa" w:w="1440"/>
          </w:tcPr>
          <w:p>
            <w:pPr>
              <w:spacing w:before="20" w:after="20"/>
            </w:pPr>
            <w:r>
              <w:rPr>
                <w:rFonts w:ascii="SimSun" w:hAnsi="SimSun" w:eastAsia="SimSun"/>
                <w:sz w:val="17"/>
              </w:rPr>
              <w:t>可见性单向高估</w:t>
            </w:r>
          </w:p>
        </w:tc>
        <w:tc>
          <w:tcPr>
            <w:tcW w:type="dxa" w:w="1440"/>
          </w:tcPr>
          <w:p>
            <w:pPr>
              <w:spacing w:before="20" w:after="20"/>
            </w:pPr>
            <w:r>
              <w:rPr>
                <w:rFonts w:ascii="SimSun" w:hAnsi="SimSun" w:eastAsia="SimSun"/>
                <w:sz w:val="17"/>
              </w:rPr>
              <w:t>0.136</w:t>
            </w:r>
          </w:p>
        </w:tc>
        <w:tc>
          <w:tcPr>
            <w:tcW w:type="dxa" w:w="1440"/>
          </w:tcPr>
          <w:p>
            <w:pPr>
              <w:spacing w:before="20" w:after="20"/>
            </w:pPr>
            <w:r>
              <w:rPr>
                <w:rFonts w:ascii="SimSun" w:hAnsi="SimSun" w:eastAsia="SimSun"/>
                <w:sz w:val="17"/>
              </w:rPr>
              <w:t>0.081</w:t>
            </w:r>
          </w:p>
        </w:tc>
        <w:tc>
          <w:tcPr>
            <w:tcW w:type="dxa" w:w="1440"/>
          </w:tcPr>
          <w:p>
            <w:pPr>
              <w:spacing w:before="20" w:after="20"/>
            </w:pPr>
            <w:r>
              <w:rPr>
                <w:rFonts w:ascii="SimSun" w:hAnsi="SimSun" w:eastAsia="SimSun"/>
                <w:b/>
                <w:sz w:val="17"/>
              </w:rPr>
              <w:t>0.002</w:t>
            </w:r>
          </w:p>
        </w:tc>
        <w:tc>
          <w:tcPr>
            <w:tcW w:type="dxa" w:w="1440"/>
          </w:tcPr>
          <w:p>
            <w:pPr>
              <w:spacing w:before="20" w:after="20"/>
            </w:pPr>
            <w:r>
              <w:rPr>
                <w:rFonts w:ascii="SimSun" w:hAnsi="SimSun" w:eastAsia="SimSun"/>
                <w:sz w:val="17"/>
              </w:rPr>
              <w:t>−0.134</w:t>
            </w:r>
          </w:p>
        </w:tc>
        <w:tc>
          <w:tcPr>
            <w:tcW w:type="dxa" w:w="1440"/>
          </w:tcPr>
          <w:p>
            <w:pPr>
              <w:spacing w:before="20" w:after="20"/>
            </w:pPr>
            <w:r>
              <w:rPr>
                <w:rFonts w:ascii="SimSun" w:hAnsi="SimSun" w:eastAsia="SimSun"/>
                <w:sz w:val="17"/>
              </w:rPr>
              <w:t>0.0040</w:t>
            </w:r>
          </w:p>
        </w:tc>
      </w:tr>
      <w:tr>
        <w:tc>
          <w:tcPr>
            <w:tcW w:type="dxa" w:w="1440"/>
          </w:tcPr>
          <w:p>
            <w:pPr>
              <w:spacing w:before="20" w:after="20"/>
            </w:pPr>
            <w:r>
              <w:rPr>
                <w:rFonts w:ascii="SimSun" w:hAnsi="SimSun" w:eastAsia="SimSun"/>
                <w:sz w:val="17"/>
              </w:rPr>
              <w:t>无效视点占比</w:t>
            </w:r>
          </w:p>
        </w:tc>
        <w:tc>
          <w:tcPr>
            <w:tcW w:type="dxa" w:w="1440"/>
          </w:tcPr>
          <w:p>
            <w:pPr>
              <w:spacing w:before="20" w:after="20"/>
            </w:pPr>
            <w:r>
              <w:rPr>
                <w:rFonts w:ascii="SimSun" w:hAnsi="SimSun" w:eastAsia="SimSun"/>
                <w:sz w:val="17"/>
              </w:rPr>
              <w:t>0.124</w:t>
            </w:r>
          </w:p>
        </w:tc>
        <w:tc>
          <w:tcPr>
            <w:tcW w:type="dxa" w:w="1440"/>
          </w:tcPr>
          <w:p>
            <w:pPr>
              <w:spacing w:before="20" w:after="20"/>
            </w:pPr>
            <w:r>
              <w:rPr>
                <w:rFonts w:ascii="SimSun" w:hAnsi="SimSun" w:eastAsia="SimSun"/>
                <w:sz w:val="17"/>
              </w:rPr>
              <w:t>0.055</w:t>
            </w:r>
          </w:p>
        </w:tc>
        <w:tc>
          <w:tcPr>
            <w:tcW w:type="dxa" w:w="1440"/>
          </w:tcPr>
          <w:p>
            <w:pPr>
              <w:spacing w:before="20" w:after="20"/>
            </w:pPr>
            <w:r>
              <w:rPr>
                <w:rFonts w:ascii="SimSun" w:hAnsi="SimSun" w:eastAsia="SimSun"/>
                <w:b/>
                <w:sz w:val="17"/>
              </w:rPr>
              <w:t>0.001</w:t>
            </w:r>
          </w:p>
        </w:tc>
        <w:tc>
          <w:tcPr>
            <w:tcW w:type="dxa" w:w="1440"/>
          </w:tcPr>
          <w:p>
            <w:pPr>
              <w:spacing w:before="20" w:after="20"/>
            </w:pPr>
            <w:r>
              <w:rPr>
                <w:rFonts w:ascii="SimSun" w:hAnsi="SimSun" w:eastAsia="SimSun"/>
                <w:sz w:val="17"/>
              </w:rPr>
              <w:t>−0.123</w:t>
            </w:r>
          </w:p>
        </w:tc>
        <w:tc>
          <w:tcPr>
            <w:tcW w:type="dxa" w:w="1440"/>
          </w:tcPr>
          <w:p>
            <w:pPr>
              <w:spacing w:before="20" w:after="20"/>
            </w:pPr>
            <w:r>
              <w:rPr>
                <w:rFonts w:ascii="SimSun" w:hAnsi="SimSun" w:eastAsia="SimSun"/>
                <w:sz w:val="17"/>
              </w:rPr>
              <w:t>0.0040</w:t>
            </w:r>
          </w:p>
        </w:tc>
      </w:tr>
    </w:tbl>
    <w:p/>
    <w:p>
      <w:pPr>
        <w:spacing w:after="80"/>
        <w:jc w:val="both"/>
      </w:pPr>
      <w:r>
        <w:rPr>
          <w:rFonts w:ascii="SimSun" w:hAnsi="SimSun" w:eastAsia="SimSun"/>
        </w:rPr>
        <w:t xml:space="preserve">地图覆盖一行的 p_holm 为 </w:t>
      </w:r>
      <w:r>
        <w:rPr>
          <w:rFonts w:ascii="SimSun" w:hAnsi="SimSun" w:eastAsia="SimSun"/>
          <w:b/>
        </w:rPr>
        <w:t>B11 vs frontier</w:t>
      </w:r>
      <w:r>
        <w:rPr>
          <w:rFonts w:ascii="SimSun" w:hAnsi="SimSun" w:eastAsia="SimSun"/>
        </w:rPr>
        <w:t xml:space="preserve">（−0.0028，p_holm = </w:t>
      </w:r>
      <w:r>
        <w:rPr>
          <w:rFonts w:ascii="SimSun" w:hAnsi="SimSun" w:eastAsia="SimSun"/>
          <w:b/>
        </w:rPr>
        <w:t>0.1300</w:t>
      </w:r>
      <w:r>
        <w:rPr>
          <w:rFonts w:ascii="SimSun" w:hAnsi="SimSun" w:eastAsia="SimSun"/>
        </w:rPr>
        <w:t>，未达显著）。</w:t>
      </w:r>
      <w:r>
        <w:rPr>
          <w:rFonts w:ascii="SimSun" w:hAnsi="SimSun" w:eastAsia="SimSun"/>
          <w:b/>
        </w:rPr>
        <w:t>B10 vs frontier</w:t>
      </w:r>
      <w:r>
        <w:rPr>
          <w:rFonts w:ascii="SimSun" w:hAnsi="SimSun" w:eastAsia="SimSun"/>
        </w:rPr>
        <w:t xml:space="preserve"> 的同一指标为 −0.0034、p_holm = </w:t>
      </w:r>
      <w:r>
        <w:rPr>
          <w:rFonts w:ascii="SimSun" w:hAnsi="SimSun" w:eastAsia="SimSun"/>
          <w:b/>
        </w:rPr>
        <w:t>0.0252</w:t>
      </w:r>
      <w:r>
        <w:rPr>
          <w:rFonts w:ascii="SimSun" w:hAnsi="SimSun" w:eastAsia="SimSun"/>
        </w:rPr>
        <w:t>（达显著）。两个 p 值对应不同的比较对象，</w:t>
      </w:r>
      <w:r>
        <w:rPr>
          <w:rFonts w:ascii="SimSun" w:hAnsi="SimSun" w:eastAsia="SimSun"/>
          <w:b/>
        </w:rPr>
        <w:t>不得互换使用</w:t>
      </w:r>
      <w:r>
        <w:rPr>
          <w:rFonts w:ascii="SimSun" w:hAnsi="SimSun" w:eastAsia="SimSun"/>
        </w:rPr>
        <w:t>。</w:t>
      </w:r>
    </w:p>
    <w:p>
      <w:pPr>
        <w:spacing w:after="80"/>
        <w:jc w:val="both"/>
      </w:pPr>
      <w:r>
        <w:rPr>
          <w:rFonts w:ascii="SimSun" w:hAnsi="SimSun" w:eastAsia="SimSun"/>
        </w:rPr>
        <w:t>三点：</w:t>
      </w:r>
    </w:p>
    <w:p>
      <w:pPr>
        <w:spacing w:after="40"/>
        <w:ind w:left="640" w:hanging="280"/>
      </w:pPr>
      <w:r>
        <w:rPr>
          <w:rFonts w:ascii="SimSun" w:hAnsi="SimSun" w:eastAsia="SimSun"/>
        </w:rPr>
        <w:t xml:space="preserve">1. </w:t>
      </w:r>
      <w:r>
        <w:rPr>
          <w:rFonts w:ascii="SimSun" w:hAnsi="SimSun" w:eastAsia="SimSun"/>
          <w:b/>
        </w:rPr>
        <w:t>frontier 在自己的目标函数上领先</w:t>
      </w:r>
      <w:r>
        <w:rPr>
          <w:rFonts w:ascii="SimSun" w:hAnsi="SimSun" w:eastAsia="SimSun"/>
        </w:rPr>
        <w:t>，幅度小（0.3–0.4 个百分点）。相对 B10 达统计显著（p_holm 0.0252），相对 B11 未达（p_holm 0.1300）。如实报告：</w:t>
      </w:r>
      <w:r>
        <w:rPr>
          <w:rFonts w:ascii="SimSun" w:hAnsi="SimSun" w:eastAsia="SimSun"/>
          <w:b/>
        </w:rPr>
        <w:t>地图覆盖这一项frontier 不落后，且相对 B10 显著领先。</w:t>
      </w:r>
    </w:p>
    <w:p>
      <w:pPr>
        <w:spacing w:after="40"/>
        <w:ind w:left="640" w:hanging="280"/>
      </w:pPr>
      <w:r>
        <w:rPr>
          <w:rFonts w:ascii="SimSun" w:hAnsi="SimSun" w:eastAsia="SimSun"/>
        </w:rPr>
        <w:t xml:space="preserve">2. </w:t>
      </w:r>
      <w:r>
        <w:rPr>
          <w:rFonts w:ascii="SimSun" w:hAnsi="SimSun" w:eastAsia="SimSun"/>
          <w:b/>
        </w:rPr>
        <w:t>任务缺口上本方法大幅领先</w:t>
      </w:r>
      <w:r>
        <w:rPr>
          <w:rFonts w:ascii="SimSun" w:hAnsi="SimSun" w:eastAsia="SimSun"/>
        </w:rPr>
        <w:t>：资产级 +0.40，关键设备召回 +0.43。资产级差距（+0.40）远大于面积加权差距（+0.18）—— frontier 依未知空间的地图揭示量选择方向，会把一部分资源用于扩大已知环境范围；本方法依目标缺口证据与工程重要度选择站位。</w:t>
      </w:r>
    </w:p>
    <w:p>
      <w:pPr>
        <w:spacing w:after="40"/>
        <w:ind w:left="640" w:hanging="280"/>
      </w:pPr>
      <w:r>
        <w:rPr>
          <w:rFonts w:ascii="SimSun" w:hAnsi="SimSun" w:eastAsia="SimSun"/>
        </w:rPr>
        <w:t xml:space="preserve">3. </w:t>
      </w:r>
      <w:r>
        <w:rPr>
          <w:rFonts w:ascii="SimSun" w:hAnsi="SimSun" w:eastAsia="SimSun"/>
          <w:b/>
        </w:rPr>
        <w:t>路径这一项必须分开说，且不能当作本方法的优势主张。</w:t>
      </w:r>
      <w:r>
        <w:rPr>
          <w:rFonts w:ascii="SimSun" w:hAnsi="SimSun" w:eastAsia="SimSun"/>
        </w:rPr>
        <w:t xml:space="preserve"> 表中 </w:t>
      </w:r>
      <w:r>
        <w:rPr>
          <w:rFonts w:ascii="Consolas" w:hAnsi="Consolas" w:eastAsia="Consolas"/>
          <w:sz w:val="18"/>
        </w:rPr>
        <w:t>Δ</w:t>
      </w:r>
      <w:r>
        <w:rPr>
          <w:rFonts w:ascii="SimSun" w:hAnsi="SimSun" w:eastAsia="SimSun"/>
        </w:rPr>
        <w:t xml:space="preserve"> 列一律为</w:t>
      </w:r>
      <w:r>
        <w:rPr>
          <w:rFonts w:ascii="SimSun" w:hAnsi="SimSun" w:eastAsia="SimSun"/>
          <w:b/>
        </w:rPr>
        <w:t>B11 − frontier</w:t>
      </w:r>
      <w:r>
        <w:rPr>
          <w:rFonts w:ascii="SimSun" w:hAnsi="SimSun" w:eastAsia="SimSun"/>
        </w:rPr>
        <w:t xml:space="preserve">：路径差为 </w:t>
      </w:r>
      <w:r>
        <w:rPr>
          <w:rFonts w:ascii="SimSun" w:hAnsi="SimSun" w:eastAsia="SimSun"/>
          <w:b/>
        </w:rPr>
        <w:t>−10.51 m，95%CI [−24.47, +4.01]，p_holm = 1.0000</w:t>
      </w:r>
      <w:r>
        <w:rPr>
          <w:rFonts w:ascii="SimSun" w:hAnsi="SimSun" w:eastAsia="SimSun"/>
        </w:rPr>
        <w:t xml:space="preserve">—— </w:t>
      </w:r>
      <w:r>
        <w:rPr>
          <w:rFonts w:ascii="SimSun" w:hAnsi="SimSun" w:eastAsia="SimSun"/>
          <w:b/>
        </w:rPr>
        <w:t>CI 跨 0，未达显著</w:t>
      </w:r>
      <w:r>
        <w:rPr>
          <w:rFonts w:ascii="SimSun" w:hAnsi="SimSun" w:eastAsia="SimSun"/>
        </w:rPr>
        <w:t>，只能说"未见本方法走得更远"。另一条比较（</w:t>
      </w:r>
      <w:r>
        <w:rPr>
          <w:rFonts w:ascii="SimSun" w:hAnsi="SimSun" w:eastAsia="SimSun"/>
          <w:b/>
        </w:rPr>
        <w:t>B10 − frontier = −36.26 m，CI [−50.37, −21.20]，p_holm = 0.0040</w:t>
      </w:r>
      <w:r>
        <w:rPr>
          <w:rFonts w:ascii="SimSun" w:hAnsi="SimSun" w:eastAsia="SimSun"/>
        </w:rPr>
        <w:t>）确实显著，但那是 B10 与 frontier 的比较，</w:t>
      </w:r>
      <w:r>
        <w:rPr>
          <w:rFonts w:ascii="SimSun" w:hAnsi="SimSun" w:eastAsia="SimSun"/>
          <w:b/>
        </w:rPr>
        <w:t>不得用于 B11</w:t>
      </w:r>
      <w:r>
        <w:rPr>
          <w:rFonts w:ascii="SimSun" w:hAnsi="SimSun" w:eastAsia="SimSun"/>
        </w:rPr>
        <w:t>。可以成立的是：</w:t>
      </w:r>
      <w:r>
        <w:rPr>
          <w:rFonts w:ascii="SimSun" w:hAnsi="SimSun" w:eastAsia="SimSun"/>
          <w:b/>
        </w:rPr>
        <w:t>站数完全相同（均 6 站），资产恢复高 0.40，而路径未见增加。</w:t>
      </w:r>
    </w:p>
    <w:p>
      <w:pPr>
        <w:spacing w:after="80"/>
        <w:jc w:val="both"/>
      </w:pPr>
      <w:r>
        <w:rPr>
          <w:rFonts w:ascii="SimSun" w:hAnsi="SimSun" w:eastAsia="SimSun"/>
        </w:rPr>
        <w:t>P50 档结论方向一致（资产 +0.34 / +0.40，p_holm 均为 0.0040；地图覆盖 −0.004，p_holm=0.0040）。</w:t>
      </w:r>
    </w:p>
    <w:p>
      <w:pPr>
        <w:pStyle w:val="Heading2"/>
        <w:spacing w:before="200" w:after="80"/>
      </w:pPr>
      <w:r>
        <w:rPr>
          <w:rFonts w:ascii="SimHei" w:hAnsi="SimHei" w:eastAsia="SimHei"/>
          <w:color w:val="000000"/>
          <w:sz w:val="27"/>
        </w:rPr>
        <w:t>四、可以支持的表述与明确禁止的表述</w:t>
      </w:r>
    </w:p>
    <w:tbl>
      <w:tblPr>
        <w:tblStyle w:val="TableGrid"/>
        <w:tblW w:type="auto" w:w="0"/>
        <w:jc w:val="center"/>
        <w:tblLook w:firstColumn="1" w:firstRow="1" w:lastColumn="0" w:lastRow="0" w:noHBand="0" w:noVBand="1" w:val="04A0"/>
      </w:tblPr>
      <w:tblGrid>
        <w:gridCol w:w="4320"/>
        <w:gridCol w:w="4320"/>
      </w:tblGrid>
      <w:tr>
        <w:tc>
          <w:tcPr>
            <w:tcW w:type="dxa" w:w="4320"/>
          </w:tcPr>
          <w:p>
            <w:pPr>
              <w:spacing w:before="20" w:after="20"/>
            </w:pPr>
            <w:r>
              <w:rPr>
                <w:rFonts w:ascii="SimSun" w:hAnsi="SimSun" w:eastAsia="SimSun"/>
                <w:b/>
                <w:sz w:val="17"/>
              </w:rPr>
              <w:t>可以支持</w:t>
            </w:r>
          </w:p>
        </w:tc>
        <w:tc>
          <w:tcPr>
            <w:tcW w:type="dxa" w:w="4320"/>
          </w:tcPr>
          <w:p>
            <w:pPr>
              <w:spacing w:before="20" w:after="20"/>
            </w:pPr>
            <w:r>
              <w:rPr>
                <w:rFonts w:ascii="SimSun" w:hAnsi="SimSun" w:eastAsia="SimSun"/>
                <w:b/>
                <w:sz w:val="17"/>
              </w:rPr>
              <w:t>明确禁止</w:t>
            </w:r>
          </w:p>
        </w:tc>
      </w:tr>
      <w:tr>
        <w:tc>
          <w:tcPr>
            <w:tcW w:type="dxa" w:w="4320"/>
          </w:tcPr>
          <w:p>
            <w:pPr>
              <w:spacing w:before="20" w:after="20"/>
            </w:pPr>
            <w:r>
              <w:rPr>
                <w:rFonts w:ascii="SimSun" w:hAnsi="SimSun" w:eastAsia="SimSun"/>
                <w:sz w:val="17"/>
              </w:rPr>
              <w:t>在同等平台、传感器、预算、安全约束与</w:t>
            </w:r>
            <w:r>
              <w:rPr>
                <w:rFonts w:ascii="SimSun" w:hAnsi="SimSun" w:eastAsia="SimSun"/>
                <w:b/>
                <w:sz w:val="17"/>
              </w:rPr>
              <w:t>相同站数</w:t>
            </w:r>
            <w:r>
              <w:rPr>
                <w:rFonts w:ascii="SimSun" w:hAnsi="SimSun" w:eastAsia="SimSun"/>
                <w:sz w:val="17"/>
              </w:rPr>
              <w:t>下，按任务缺口计价的站位选择所恢复的资产级覆盖显著高于按地图信息增益计价的探索式选择（P0：+0.40，p_holm=0.0040），</w:t>
            </w:r>
            <w:r>
              <w:rPr>
                <w:rFonts w:ascii="SimSun" w:hAnsi="SimSun" w:eastAsia="SimSun"/>
                <w:b/>
                <w:sz w:val="17"/>
              </w:rPr>
              <w:t>且路径未见增加</w:t>
            </w:r>
            <w:r>
              <w:rPr>
                <w:rFonts w:ascii="SimSun" w:hAnsi="SimSun" w:eastAsia="SimSun"/>
                <w:sz w:val="17"/>
              </w:rPr>
              <w:t>（B11 vs frontier：−10.51 m，p_holm=1.0000，不显著）</w:t>
            </w:r>
          </w:p>
        </w:tc>
        <w:tc>
          <w:tcPr>
            <w:tcW w:type="dxa" w:w="4320"/>
          </w:tcPr>
          <w:p>
            <w:pPr>
              <w:spacing w:before="20" w:after="20"/>
            </w:pPr>
            <w:r>
              <w:rPr>
                <w:rFonts w:ascii="SimSun" w:hAnsi="SimSun" w:eastAsia="SimSun"/>
                <w:sz w:val="17"/>
              </w:rPr>
              <w:t xml:space="preserve">❌ 不得表述为「本方法探索效率更高」或「本方法建图更快」—— </w:t>
            </w:r>
            <w:r>
              <w:rPr>
                <w:rFonts w:ascii="SimSun" w:hAnsi="SimSun" w:eastAsia="SimSun"/>
                <w:b/>
                <w:sz w:val="17"/>
              </w:rPr>
              <w:t>地图覆盖是 frontier 领先</w:t>
            </w:r>
            <w:r>
              <w:rPr>
                <w:rFonts w:ascii="SimSun" w:hAnsi="SimSun" w:eastAsia="SimSun"/>
                <w:sz w:val="17"/>
              </w:rPr>
              <w:t>（相对 B11：Δ −0.0028，p_holm 0.1300 / 0.0649，未达显著；相对 B10：Δ −0.0034/−0.0039，p_holm 0.0252 / 0.0040，达显著）</w:t>
            </w:r>
          </w:p>
        </w:tc>
      </w:tr>
      <w:tr>
        <w:tc>
          <w:tcPr>
            <w:tcW w:type="dxa" w:w="4320"/>
          </w:tcPr>
          <w:p>
            <w:pPr>
              <w:spacing w:before="20" w:after="20"/>
            </w:pPr>
            <w:r>
              <w:rPr>
                <w:rFonts w:ascii="SimSun" w:hAnsi="SimSun" w:eastAsia="SimSun"/>
                <w:sz w:val="17"/>
              </w:rPr>
              <w:t>不建遮挡模型的站位选择，其可见性单向高估最高（P0：0.136 对 0.002）</w:t>
            </w:r>
          </w:p>
        </w:tc>
        <w:tc>
          <w:tcPr>
            <w:tcW w:type="dxa" w:w="4320"/>
          </w:tcPr>
          <w:p>
            <w:pPr>
              <w:spacing w:before="20" w:after="20"/>
            </w:pPr>
            <w:r>
              <w:rPr>
                <w:rFonts w:ascii="SimSun" w:hAnsi="SimSun" w:eastAsia="SimSun"/>
                <w:sz w:val="17"/>
              </w:rPr>
              <w:t>❌ 不得把该差距归因于 frontier 的候选口径 —— 它是「有没有遮挡模型」的差别</w:t>
            </w:r>
          </w:p>
        </w:tc>
      </w:tr>
      <w:tr>
        <w:tc>
          <w:tcPr>
            <w:tcW w:type="dxa" w:w="4320"/>
          </w:tcPr>
          <w:p>
            <w:pPr>
              <w:spacing w:before="20" w:after="20"/>
            </w:pPr>
            <w:r>
              <w:rPr>
                <w:rFonts w:ascii="SimSun" w:hAnsi="SimSun" w:eastAsia="SimSun"/>
                <w:sz w:val="17"/>
              </w:rPr>
              <w:t>本方法与探索类方法</w:t>
            </w:r>
            <w:r>
              <w:rPr>
                <w:rFonts w:ascii="SimSun" w:hAnsi="SimSun" w:eastAsia="SimSun"/>
                <w:b/>
                <w:sz w:val="17"/>
              </w:rPr>
              <w:t>优化的是不同的量</w:t>
            </w:r>
            <w:r>
              <w:rPr>
                <w:rFonts w:ascii="SimSun" w:hAnsi="SimSun" w:eastAsia="SimSun"/>
                <w:sz w:val="17"/>
              </w:rPr>
              <w:t>，不构成同一任务上的替代关系</w:t>
            </w:r>
          </w:p>
        </w:tc>
        <w:tc>
          <w:tcPr>
            <w:tcW w:type="dxa" w:w="4320"/>
          </w:tcPr>
          <w:p>
            <w:pPr>
              <w:spacing w:before="20" w:after="20"/>
            </w:pPr>
            <w:r>
              <w:rPr>
                <w:rFonts w:ascii="SimSun" w:hAnsi="SimSun" w:eastAsia="SimSun"/>
                <w:sz w:val="17"/>
              </w:rPr>
              <w:t>❌ 不得把 frontier 的地图覆盖优势说成任务缺口优势，反之亦然（§12 禁止项 8）</w:t>
            </w:r>
          </w:p>
        </w:tc>
      </w:tr>
      <w:tr>
        <w:tc>
          <w:tcPr>
            <w:tcW w:type="dxa" w:w="4320"/>
          </w:tcPr>
          <w:p>
            <w:pPr>
              <w:spacing w:before="20" w:after="20"/>
            </w:pPr>
            <w:r>
              <w:rPr>
                <w:rFonts w:ascii="SimSun" w:hAnsi="SimSun" w:eastAsia="SimSun"/>
                <w:sz w:val="17"/>
              </w:rPr>
              <w:t>任务驱动策略整体在资产恢复上显著高于 frontier 探索基线</w:t>
            </w:r>
          </w:p>
        </w:tc>
        <w:tc>
          <w:tcPr>
            <w:tcW w:type="dxa" w:w="4320"/>
          </w:tcPr>
          <w:p>
            <w:pPr>
              <w:spacing w:before="20" w:after="20"/>
            </w:pPr>
            <w:r>
              <w:rPr>
                <w:rFonts w:ascii="SimSun" w:hAnsi="SimSun" w:eastAsia="SimSun"/>
                <w:sz w:val="17"/>
              </w:rPr>
              <w:t>❌ 不得说 frontier「失效」或「不能用」—— 它在自己的目标上正常完成</w:t>
            </w:r>
          </w:p>
        </w:tc>
      </w:tr>
      <w:tr>
        <w:tc>
          <w:tcPr>
            <w:tcW w:type="dxa" w:w="4320"/>
          </w:tcPr>
          <w:p>
            <w:pPr>
              <w:spacing w:before="20" w:after="20"/>
            </w:pPr>
            <w:r>
              <w:rPr>
                <w:rFonts w:ascii="SimSun" w:hAnsi="SimSun" w:eastAsia="SimSun"/>
                <w:sz w:val="17"/>
              </w:rPr>
              <w:t>资产级差距远大于面积加权差距，说明两类策略把观测分配到了不同的地方</w:t>
            </w:r>
          </w:p>
        </w:tc>
        <w:tc>
          <w:tcPr>
            <w:tcW w:type="dxa" w:w="4320"/>
          </w:tcPr>
          <w:p>
            <w:pPr>
              <w:spacing w:before="20" w:after="20"/>
            </w:pPr>
            <w:r>
              <w:rPr>
                <w:rFonts w:ascii="SimSun" w:hAnsi="SimSun" w:eastAsia="SimSun"/>
                <w:sz w:val="17"/>
              </w:rPr>
              <w:t xml:space="preserve">❌ </w:t>
            </w:r>
            <w:r>
              <w:rPr>
                <w:rFonts w:ascii="SimSun" w:hAnsi="SimSun" w:eastAsia="SimSun"/>
                <w:b/>
                <w:sz w:val="17"/>
              </w:rPr>
              <w:t>不得说 +0.40 完全由收益函数造成</w:t>
            </w:r>
            <w:r>
              <w:rPr>
                <w:rFonts w:ascii="SimSun" w:hAnsi="SimSun" w:eastAsia="SimSun"/>
                <w:sz w:val="17"/>
              </w:rPr>
              <w:t xml:space="preserve"> —— 本实验未拆开候选空间、收益口径、有无遮挡模型三项各自的贡献</w:t>
            </w:r>
          </w:p>
        </w:tc>
      </w:tr>
    </w:tbl>
    <w:p/>
    <w:p>
      <w:pPr>
        <w:pStyle w:val="Heading2"/>
        <w:spacing w:before="200" w:after="80"/>
      </w:pPr>
      <w:r>
        <w:rPr>
          <w:rFonts w:ascii="SimHei" w:hAnsi="SimHei" w:eastAsia="SimHei"/>
          <w:color w:val="000000"/>
          <w:sz w:val="27"/>
        </w:rPr>
        <w:t>五、对专利的意义</w:t>
      </w:r>
    </w:p>
    <w:p>
      <w:pPr>
        <w:spacing w:after="80"/>
        <w:jc w:val="both"/>
      </w:pPr>
      <w:r>
        <w:rPr>
          <w:rFonts w:ascii="SimSun" w:hAnsi="SimSun" w:eastAsia="SimSun"/>
        </w:rPr>
        <w:t>这一组对照直接支撑「本方法与 SLAM / frontier / NBV 探索的核心技术区别」这一问：</w:t>
      </w:r>
    </w:p>
    <w:p>
      <w:pPr>
        <w:ind w:left="360"/>
      </w:pPr>
      <w:r>
        <w:rPr>
          <w:rFonts w:ascii="SimSun" w:hAnsi="SimSun" w:eastAsia="SimSun"/>
          <w:i/>
        </w:rPr>
        <w:t>探索类方法要回答的是</w:t>
      </w:r>
      <w:r>
        <w:rPr>
          <w:rFonts w:ascii="SimSun" w:hAnsi="SimSun" w:eastAsia="SimSun"/>
          <w:b/>
          <w:i/>
        </w:rPr>
        <w:t>「哪里还没看过」</w:t>
      </w:r>
      <w:r>
        <w:rPr>
          <w:rFonts w:ascii="SimSun" w:hAnsi="SimSun" w:eastAsia="SimSun"/>
          <w:i/>
        </w:rPr>
        <w:t>，其收益由地图未知量定义，与要检查什么无关；本方法要回答的是</w:t>
      </w:r>
      <w:r>
        <w:rPr>
          <w:rFonts w:ascii="SimSun" w:hAnsi="SimSun" w:eastAsia="SimSun"/>
          <w:b/>
          <w:i/>
        </w:rPr>
        <w:t>「哪个待检查目标还没测够」</w:t>
      </w:r>
      <w:r>
        <w:rPr>
          <w:rFonts w:ascii="SimSun" w:hAnsi="SimSun" w:eastAsia="SimSun"/>
          <w:i/>
        </w:rPr>
        <w:t>，其收益由目标缺口证据与工程重要度定义。二者在同一现场、同一平台、同一预算、</w:t>
      </w:r>
      <w:r>
        <w:rPr>
          <w:rFonts w:ascii="SimSun" w:hAnsi="SimSun" w:eastAsia="SimSun"/>
          <w:b/>
          <w:i/>
        </w:rPr>
        <w:t>相同站数</w:t>
      </w:r>
      <w:r>
        <w:rPr>
          <w:rFonts w:ascii="SimSun" w:hAnsi="SimSun" w:eastAsia="SimSun"/>
          <w:i/>
        </w:rPr>
        <w:t>下给出不同的站位序列：地图覆盖上 frontier 数值略高（0.952 对 0.949；相对 B11 未达显著，p_holm 0.1300），资产级覆盖上本方法高 0.40（p_holm 0.0040），而路径未见增加（−10.51 m，p_holm 1.0000）。</w:t>
      </w:r>
    </w:p>
    <w:p>
      <w:pPr>
        <w:spacing w:after="80"/>
        <w:jc w:val="both"/>
      </w:pPr>
      <w:r>
        <w:rPr>
          <w:rFonts w:ascii="SimSun" w:hAnsi="SimSun" w:eastAsia="SimSun"/>
        </w:rPr>
        <w:t>M_plan 的建立与更新是本方法为了在弱先验下仍能规划而</w:t>
      </w:r>
      <w:r>
        <w:rPr>
          <w:rFonts w:ascii="SimSun" w:hAnsi="SimSun" w:eastAsia="SimSun"/>
          <w:b/>
        </w:rPr>
        <w:t>必需的手段</w:t>
      </w:r>
      <w:r>
        <w:rPr>
          <w:rFonts w:ascii="SimSun" w:hAnsi="SimSun" w:eastAsia="SimSun"/>
        </w:rPr>
        <w:t>，不是本方法的目的。这也是权利要求层面的分界：</w:t>
      </w:r>
      <w:r>
        <w:rPr>
          <w:rFonts w:ascii="SimSun" w:hAnsi="SimSun" w:eastAsia="SimSun"/>
          <w:b/>
        </w:rPr>
        <w:t>本方法的收益函数中不含任何地图未知量</w:t>
      </w:r>
      <w:r>
        <w:rPr>
          <w:rFonts w:ascii="SimSun" w:hAnsi="SimSun" w:eastAsia="SimSun"/>
        </w:rPr>
        <w:t>。</w:t>
      </w:r>
    </w:p>
    <w:p>
      <w:pPr>
        <w:pStyle w:val="Heading3"/>
        <w:spacing w:before="120" w:after="80"/>
      </w:pPr>
      <w:r>
        <w:rPr>
          <w:rFonts w:ascii="SimHei" w:hAnsi="SimHei" w:eastAsia="SimHei"/>
          <w:color w:val="000000"/>
          <w:sz w:val="24"/>
        </w:rPr>
        <w:t>一条必须写明的实验范围限定</w:t>
      </w:r>
    </w:p>
    <w:p>
      <w:pPr>
        <w:spacing w:after="80"/>
        <w:jc w:val="both"/>
      </w:pPr>
      <w:r>
        <w:rPr>
          <w:rFonts w:ascii="SimSun" w:hAnsi="SimSun" w:eastAsia="SimSun"/>
        </w:rPr>
        <w:t xml:space="preserve">E8 实现并实测的是 </w:t>
      </w:r>
      <w:r>
        <w:rPr>
          <w:rFonts w:ascii="SimSun" w:hAnsi="SimSun" w:eastAsia="SimSun"/>
          <w:b/>
        </w:rPr>
        <w:t>frontier-based exploration</w:t>
      </w:r>
      <w:r>
        <w:rPr>
          <w:rFonts w:ascii="SimSun" w:hAnsi="SimSun" w:eastAsia="SimSun"/>
        </w:rPr>
        <w:t xml:space="preserve"> 这一种基线。</w:t>
      </w:r>
      <w:r>
        <w:rPr>
          <w:rFonts w:ascii="SimSun" w:hAnsi="SimSun" w:eastAsia="SimSun"/>
          <w:b/>
        </w:rPr>
        <w:t>未</w:t>
      </w:r>
      <w:r>
        <w:rPr>
          <w:rFonts w:ascii="SimSun" w:hAnsi="SimSun" w:eastAsia="SimSun"/>
        </w:rPr>
        <w:t>实测learning-based NBV、reconstruction NBV、uncertainty-based NBV 或现代 active SLAM基准。因此：</w:t>
      </w:r>
    </w:p>
    <w:p>
      <w:pPr>
        <w:pStyle w:val="ListBullet"/>
        <w:ind w:left="360"/>
      </w:pPr>
      <w:r>
        <w:rPr>
          <w:rFonts w:ascii="SimSun" w:hAnsi="SimSun" w:eastAsia="SimSun"/>
        </w:rPr>
        <w:t>可以写：本方法与 SLAM / frontier / NBV 在</w:t>
      </w:r>
      <w:r>
        <w:rPr>
          <w:rFonts w:ascii="SimSun" w:hAnsi="SimSun" w:eastAsia="SimSun"/>
          <w:b/>
        </w:rPr>
        <w:t>任务定义与收益函数层面</w:t>
      </w:r>
      <w:r>
        <w:rPr>
          <w:rFonts w:ascii="SimSun" w:hAnsi="SimSun" w:eastAsia="SimSun"/>
        </w:rPr>
        <w:t>存在区别；</w:t>
      </w:r>
    </w:p>
    <w:p>
      <w:pPr>
        <w:pStyle w:val="ListBullet"/>
        <w:ind w:left="360"/>
      </w:pPr>
      <w:r>
        <w:rPr>
          <w:rFonts w:ascii="SimSun" w:hAnsi="SimSun" w:eastAsia="SimSun"/>
        </w:rPr>
        <w:t xml:space="preserve">若写"实验表明"，必须限定为 </w:t>
      </w:r>
      <w:r>
        <w:rPr>
          <w:rFonts w:ascii="SimSun" w:hAnsi="SimSun" w:eastAsia="SimSun"/>
          <w:b/>
        </w:rPr>
        <w:t>frontier-based exploration</w:t>
      </w:r>
      <w:r>
        <w:rPr>
          <w:rFonts w:ascii="SimSun" w:hAnsi="SimSun" w:eastAsia="SimSun"/>
        </w:rPr>
        <w:t>；</w:t>
      </w:r>
    </w:p>
    <w:p>
      <w:pPr>
        <w:pStyle w:val="ListBullet"/>
        <w:ind w:left="360"/>
      </w:pPr>
      <w:r>
        <w:rPr>
          <w:rFonts w:ascii="SimSun" w:hAnsi="SimSun" w:eastAsia="SimSun"/>
          <w:b/>
        </w:rPr>
        <w:t>不得</w:t>
      </w:r>
      <w:r>
        <w:rPr>
          <w:rFonts w:ascii="SimSun" w:hAnsi="SimSun" w:eastAsia="SimSun"/>
        </w:rPr>
        <w:t>据此声称优于所有 NBV 或 SLAM 方法。</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