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A5B56">
      <w:pPr>
        <w:spacing w:before="156" w:beforeLines="50" w:after="156" w:afterLines="50" w:line="360" w:lineRule="auto"/>
        <w:jc w:val="center"/>
        <w:rPr>
          <w:rFonts w:hint="eastAsia" w:ascii="微软雅黑" w:hAnsi="微软雅黑" w:eastAsia="微软雅黑"/>
          <w:sz w:val="36"/>
          <w:szCs w:val="36"/>
        </w:rPr>
      </w:pPr>
      <w:r>
        <w:rPr>
          <w:rFonts w:hint="eastAsia" w:ascii="微软雅黑" w:hAnsi="微软雅黑" w:eastAsia="微软雅黑"/>
          <w:sz w:val="36"/>
          <w:szCs w:val="36"/>
        </w:rPr>
        <w:t>专利授权评估表</w:t>
      </w:r>
    </w:p>
    <w:tbl>
      <w:tblPr>
        <w:tblStyle w:val="7"/>
        <w:tblW w:w="104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8"/>
        <w:gridCol w:w="2001"/>
        <w:gridCol w:w="1343"/>
        <w:gridCol w:w="2928"/>
        <w:gridCol w:w="1538"/>
        <w:gridCol w:w="1248"/>
      </w:tblGrid>
      <w:tr w14:paraId="7E3A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vAlign w:val="center"/>
          </w:tcPr>
          <w:p w14:paraId="443EA784">
            <w:pPr>
              <w:keepNext w:val="0"/>
              <w:keepLines w:val="0"/>
              <w:pageBreakBefore w:val="0"/>
              <w:widowControl w:val="0"/>
              <w:kinsoku/>
              <w:wordWrap/>
              <w:overflowPunct/>
              <w:topLinePunct w:val="0"/>
              <w:autoSpaceDE/>
              <w:autoSpaceDN/>
              <w:bidi w:val="0"/>
              <w:adjustRightInd/>
              <w:snapToGrid/>
              <w:spacing w:before="79" w:beforeLines="25" w:after="79" w:afterLines="25" w:line="240" w:lineRule="auto"/>
              <w:jc w:val="center"/>
              <w:textAlignment w:val="auto"/>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发明创造名称</w:t>
            </w:r>
          </w:p>
        </w:tc>
        <w:tc>
          <w:tcPr>
            <w:tcW w:w="9058" w:type="dxa"/>
            <w:gridSpan w:val="5"/>
            <w:vAlign w:val="center"/>
          </w:tcPr>
          <w:p w14:paraId="6777405B">
            <w:pPr>
              <w:widowControl/>
              <w:jc w:val="left"/>
              <w:rPr>
                <w:rFonts w:hint="default" w:ascii="Times New Roman" w:hAnsi="Times New Roman" w:eastAsia="宋体" w:cs="Times New Roman"/>
                <w:sz w:val="24"/>
                <w:szCs w:val="24"/>
                <w:u w:val="none"/>
              </w:rPr>
            </w:pPr>
            <w:r>
              <w:rPr>
                <w:rFonts w:hint="default" w:ascii="Times New Roman" w:hAnsi="Times New Roman" w:eastAsia="宋体" w:cs="Times New Roman"/>
                <w:sz w:val="24"/>
                <w:szCs w:val="24"/>
                <w:u w:val="none"/>
              </w:rPr>
              <w:t>一种基于IFC表面分块和多源证据融合的建筑点云缺口检测及补充扫描视点规划方法</w:t>
            </w:r>
          </w:p>
        </w:tc>
      </w:tr>
      <w:tr w14:paraId="3F7E9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vAlign w:val="center"/>
          </w:tcPr>
          <w:p w14:paraId="34ECB030">
            <w:pPr>
              <w:spacing w:line="240" w:lineRule="auto"/>
              <w:jc w:val="center"/>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检索</w:t>
            </w:r>
          </w:p>
          <w:p w14:paraId="7F20BB11">
            <w:pPr>
              <w:spacing w:line="240" w:lineRule="auto"/>
              <w:jc w:val="center"/>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关键词</w:t>
            </w:r>
          </w:p>
        </w:tc>
        <w:tc>
          <w:tcPr>
            <w:tcW w:w="9058" w:type="dxa"/>
            <w:gridSpan w:val="5"/>
            <w:vAlign w:val="center"/>
          </w:tcPr>
          <w:p w14:paraId="69F101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HimmPat，(IFC模型 AND 三维点云)/tacd：CN121121227B</w:t>
            </w:r>
          </w:p>
          <w:p w14:paraId="7D22D6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HimmPat，(IFC模型 AND 点云 AND 证据)/tac：CN121580483A</w:t>
            </w:r>
          </w:p>
        </w:tc>
      </w:tr>
      <w:tr w14:paraId="24EF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vAlign w:val="center"/>
          </w:tcPr>
          <w:p w14:paraId="773C0B13">
            <w:pPr>
              <w:keepNext w:val="0"/>
              <w:keepLines w:val="0"/>
              <w:pageBreakBefore w:val="0"/>
              <w:widowControl w:val="0"/>
              <w:kinsoku/>
              <w:wordWrap/>
              <w:overflowPunct/>
              <w:topLinePunct w:val="0"/>
              <w:autoSpaceDE/>
              <w:autoSpaceDN/>
              <w:bidi w:val="0"/>
              <w:adjustRightInd/>
              <w:snapToGrid/>
              <w:spacing w:before="79" w:beforeLines="25" w:after="79" w:afterLines="25" w:line="240" w:lineRule="auto"/>
              <w:jc w:val="center"/>
              <w:textAlignment w:val="auto"/>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检索时间</w:t>
            </w:r>
          </w:p>
        </w:tc>
        <w:tc>
          <w:tcPr>
            <w:tcW w:w="2001" w:type="dxa"/>
            <w:vAlign w:val="center"/>
          </w:tcPr>
          <w:p w14:paraId="5581C5F9">
            <w:pPr>
              <w:keepNext w:val="0"/>
              <w:keepLines w:val="0"/>
              <w:pageBreakBefore w:val="0"/>
              <w:widowControl w:val="0"/>
              <w:kinsoku/>
              <w:wordWrap/>
              <w:overflowPunct/>
              <w:topLinePunct w:val="0"/>
              <w:autoSpaceDE/>
              <w:autoSpaceDN/>
              <w:bidi w:val="0"/>
              <w:adjustRightInd/>
              <w:snapToGrid/>
              <w:spacing w:before="79" w:beforeLines="25" w:after="79" w:afterLines="25" w:line="240" w:lineRule="auto"/>
              <w:jc w:val="center"/>
              <w:textAlignment w:val="auto"/>
              <w:rPr>
                <w:rFonts w:hint="default" w:ascii="Times New Roman" w:hAnsi="Times New Roman" w:eastAsia="宋体" w:cs="Times New Roman"/>
                <w:b/>
                <w:sz w:val="24"/>
                <w:szCs w:val="24"/>
                <w:u w:val="none"/>
                <w:lang w:val="en-US" w:eastAsia="zh-CN"/>
              </w:rPr>
            </w:pPr>
            <w:r>
              <w:rPr>
                <w:rFonts w:hint="default" w:ascii="Times New Roman" w:hAnsi="Times New Roman" w:eastAsia="宋体" w:cs="Times New Roman"/>
                <w:sz w:val="24"/>
                <w:szCs w:val="24"/>
                <w:u w:val="none"/>
              </w:rPr>
              <w:t>202</w:t>
            </w:r>
            <w:r>
              <w:rPr>
                <w:rFonts w:hint="default" w:ascii="Times New Roman" w:hAnsi="Times New Roman" w:eastAsia="宋体" w:cs="Times New Roman"/>
                <w:sz w:val="24"/>
                <w:szCs w:val="24"/>
                <w:u w:val="none"/>
                <w:lang w:val="en-US" w:eastAsia="zh-CN"/>
              </w:rPr>
              <w:t>6</w:t>
            </w:r>
            <w:r>
              <w:rPr>
                <w:rFonts w:hint="default" w:ascii="Times New Roman" w:hAnsi="Times New Roman" w:eastAsia="宋体" w:cs="Times New Roman"/>
                <w:sz w:val="24"/>
                <w:szCs w:val="24"/>
                <w:u w:val="none"/>
              </w:rPr>
              <w:t>.0</w:t>
            </w:r>
            <w:r>
              <w:rPr>
                <w:rFonts w:hint="eastAsia" w:ascii="Times New Roman" w:hAnsi="Times New Roman" w:eastAsia="宋体" w:cs="Times New Roman"/>
                <w:sz w:val="24"/>
                <w:szCs w:val="24"/>
                <w:u w:val="none"/>
                <w:lang w:val="en-US" w:eastAsia="zh-CN"/>
              </w:rPr>
              <w:t>7.21</w:t>
            </w:r>
          </w:p>
        </w:tc>
        <w:tc>
          <w:tcPr>
            <w:tcW w:w="1343" w:type="dxa"/>
            <w:vAlign w:val="center"/>
          </w:tcPr>
          <w:p w14:paraId="6E94B4DA">
            <w:pPr>
              <w:keepNext w:val="0"/>
              <w:keepLines w:val="0"/>
              <w:pageBreakBefore w:val="0"/>
              <w:widowControl w:val="0"/>
              <w:kinsoku/>
              <w:wordWrap/>
              <w:overflowPunct/>
              <w:topLinePunct w:val="0"/>
              <w:autoSpaceDE/>
              <w:autoSpaceDN/>
              <w:bidi w:val="0"/>
              <w:adjustRightInd/>
              <w:snapToGrid/>
              <w:spacing w:before="79" w:beforeLines="25" w:after="79" w:afterLines="25" w:line="240" w:lineRule="auto"/>
              <w:jc w:val="center"/>
              <w:textAlignment w:val="auto"/>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检索范围</w:t>
            </w:r>
          </w:p>
        </w:tc>
        <w:tc>
          <w:tcPr>
            <w:tcW w:w="5714" w:type="dxa"/>
            <w:gridSpan w:val="3"/>
            <w:vAlign w:val="center"/>
          </w:tcPr>
          <w:p w14:paraId="59EAEF67">
            <w:pPr>
              <w:keepNext w:val="0"/>
              <w:keepLines w:val="0"/>
              <w:pageBreakBefore w:val="0"/>
              <w:widowControl w:val="0"/>
              <w:kinsoku/>
              <w:wordWrap/>
              <w:overflowPunct/>
              <w:topLinePunct w:val="0"/>
              <w:autoSpaceDE/>
              <w:autoSpaceDN/>
              <w:bidi w:val="0"/>
              <w:adjustRightInd/>
              <w:snapToGrid/>
              <w:spacing w:before="79" w:beforeLines="25" w:after="79" w:afterLines="25" w:line="240" w:lineRule="auto"/>
              <w:jc w:val="center"/>
              <w:textAlignment w:val="auto"/>
              <w:rPr>
                <w:rFonts w:hint="default" w:ascii="Times New Roman" w:hAnsi="Times New Roman" w:eastAsia="宋体" w:cs="Times New Roman"/>
                <w:sz w:val="24"/>
                <w:szCs w:val="24"/>
                <w:u w:val="none"/>
                <w:lang w:val="en-US" w:eastAsia="zh-CN"/>
              </w:rPr>
            </w:pPr>
            <w:r>
              <w:rPr>
                <w:rFonts w:hint="default" w:ascii="Times New Roman" w:hAnsi="Times New Roman" w:eastAsia="宋体" w:cs="Times New Roman"/>
                <w:sz w:val="24"/>
                <w:szCs w:val="24"/>
                <w:u w:val="none"/>
              </w:rPr>
              <w:t>202</w:t>
            </w:r>
            <w:r>
              <w:rPr>
                <w:rFonts w:hint="default" w:ascii="Times New Roman" w:hAnsi="Times New Roman" w:eastAsia="宋体" w:cs="Times New Roman"/>
                <w:sz w:val="24"/>
                <w:szCs w:val="24"/>
                <w:u w:val="none"/>
                <w:lang w:val="en-US" w:eastAsia="zh-CN"/>
              </w:rPr>
              <w:t>6</w:t>
            </w:r>
            <w:r>
              <w:rPr>
                <w:rFonts w:hint="default" w:ascii="Times New Roman" w:hAnsi="Times New Roman" w:eastAsia="宋体" w:cs="Times New Roman"/>
                <w:sz w:val="24"/>
                <w:szCs w:val="24"/>
                <w:u w:val="none"/>
              </w:rPr>
              <w:t>.0</w:t>
            </w:r>
            <w:r>
              <w:rPr>
                <w:rFonts w:hint="eastAsia" w:ascii="Times New Roman" w:hAnsi="Times New Roman" w:eastAsia="宋体" w:cs="Times New Roman"/>
                <w:sz w:val="24"/>
                <w:szCs w:val="24"/>
                <w:u w:val="none"/>
                <w:lang w:val="en-US" w:eastAsia="zh-CN"/>
              </w:rPr>
              <w:t>7.21</w:t>
            </w:r>
            <w:r>
              <w:rPr>
                <w:rFonts w:hint="default" w:ascii="Times New Roman" w:hAnsi="Times New Roman" w:eastAsia="宋体" w:cs="Times New Roman"/>
                <w:sz w:val="24"/>
                <w:szCs w:val="24"/>
                <w:u w:val="none"/>
              </w:rPr>
              <w:t>之前公开的专利</w:t>
            </w:r>
            <w:r>
              <w:rPr>
                <w:rFonts w:hint="eastAsia" w:ascii="Times New Roman" w:hAnsi="Times New Roman" w:eastAsia="宋体" w:cs="Times New Roman"/>
                <w:sz w:val="24"/>
                <w:szCs w:val="24"/>
                <w:u w:val="none"/>
                <w:lang w:val="en-US" w:eastAsia="zh-CN"/>
              </w:rPr>
              <w:t>及文献</w:t>
            </w:r>
          </w:p>
        </w:tc>
      </w:tr>
      <w:tr w14:paraId="3DE6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jc w:val="center"/>
        </w:trPr>
        <w:tc>
          <w:tcPr>
            <w:tcW w:w="1378" w:type="dxa"/>
            <w:vAlign w:val="center"/>
          </w:tcPr>
          <w:p w14:paraId="056952A7">
            <w:pPr>
              <w:spacing w:line="240" w:lineRule="auto"/>
              <w:jc w:val="center"/>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要解决的技术问题</w:t>
            </w:r>
          </w:p>
        </w:tc>
        <w:tc>
          <w:tcPr>
            <w:tcW w:w="9058" w:type="dxa"/>
            <w:gridSpan w:val="5"/>
          </w:tcPr>
          <w:p w14:paraId="5EA50EB1">
            <w:pPr>
              <w:spacing w:line="360" w:lineRule="auto"/>
              <w:ind w:firstLine="480" w:firstLineChars="200"/>
              <w:rPr>
                <w:rFonts w:hint="eastAsia" w:ascii="Times New Roman" w:hAnsi="Times New Roman" w:eastAsia="宋体" w:cs="Times New Roman"/>
                <w:sz w:val="24"/>
                <w:szCs w:val="24"/>
                <w:u w:val="none"/>
                <w:lang w:eastAsia="zh-CN"/>
              </w:rPr>
            </w:pPr>
            <w:r>
              <w:rPr>
                <w:rFonts w:hint="eastAsia" w:ascii="Times New Roman" w:hAnsi="Times New Roman" w:eastAsia="宋体" w:cs="Times New Roman"/>
                <w:sz w:val="24"/>
                <w:szCs w:val="24"/>
                <w:u w:val="none"/>
                <w:lang w:val="en-US" w:eastAsia="zh-CN"/>
              </w:rPr>
              <w:t>1、</w:t>
            </w:r>
            <w:r>
              <w:rPr>
                <w:rFonts w:hint="eastAsia" w:ascii="Times New Roman" w:hAnsi="Times New Roman" w:eastAsia="宋体" w:cs="Times New Roman"/>
                <w:sz w:val="24"/>
                <w:szCs w:val="24"/>
                <w:u w:val="none"/>
                <w:lang w:eastAsia="zh-CN"/>
              </w:rPr>
              <w:t>扫描后局部表面缺口难定位；</w:t>
            </w:r>
          </w:p>
          <w:p w14:paraId="2CC17AA9">
            <w:pPr>
              <w:spacing w:line="360" w:lineRule="auto"/>
              <w:ind w:firstLine="480" w:firstLineChars="200"/>
              <w:rPr>
                <w:rFonts w:hint="eastAsia" w:ascii="Times New Roman" w:hAnsi="Times New Roman" w:eastAsia="宋体" w:cs="Times New Roman"/>
                <w:sz w:val="24"/>
                <w:szCs w:val="24"/>
                <w:u w:val="none"/>
                <w:lang w:eastAsia="zh-CN"/>
              </w:rPr>
            </w:pPr>
            <w:r>
              <w:rPr>
                <w:rFonts w:hint="eastAsia" w:ascii="Times New Roman" w:hAnsi="Times New Roman" w:eastAsia="宋体" w:cs="Times New Roman"/>
                <w:sz w:val="24"/>
                <w:szCs w:val="24"/>
                <w:u w:val="none"/>
                <w:lang w:val="en-US" w:eastAsia="zh-CN"/>
              </w:rPr>
              <w:t>2、</w:t>
            </w:r>
            <w:r>
              <w:rPr>
                <w:rFonts w:hint="eastAsia" w:ascii="Times New Roman" w:hAnsi="Times New Roman" w:eastAsia="宋体" w:cs="Times New Roman"/>
                <w:sz w:val="24"/>
                <w:szCs w:val="24"/>
                <w:u w:val="none"/>
                <w:lang w:eastAsia="zh-CN"/>
              </w:rPr>
              <w:t>补充扫描位姿难确定。</w:t>
            </w:r>
          </w:p>
        </w:tc>
      </w:tr>
      <w:tr w14:paraId="4350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378" w:type="dxa"/>
            <w:vAlign w:val="center"/>
          </w:tcPr>
          <w:p w14:paraId="560A8562">
            <w:pPr>
              <w:spacing w:line="240" w:lineRule="auto"/>
              <w:jc w:val="center"/>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技术方案内容</w:t>
            </w:r>
          </w:p>
        </w:tc>
        <w:tc>
          <w:tcPr>
            <w:tcW w:w="9058" w:type="dxa"/>
            <w:gridSpan w:val="5"/>
          </w:tcPr>
          <w:p w14:paraId="4751537B">
            <w:pPr>
              <w:spacing w:line="360" w:lineRule="auto"/>
              <w:ind w:firstLine="480" w:firstLineChars="200"/>
              <w:rPr>
                <w:rFonts w:hint="eastAsia" w:ascii="Times New Roman" w:hAnsi="Times New Roman" w:eastAsia="宋体" w:cs="Times New Roman"/>
                <w:sz w:val="24"/>
                <w:szCs w:val="24"/>
                <w:u w:val="none"/>
                <w:lang w:eastAsia="zh-CN"/>
              </w:rPr>
            </w:pPr>
            <w:r>
              <w:rPr>
                <w:rFonts w:hint="default" w:ascii="Times New Roman" w:hAnsi="Times New Roman" w:eastAsia="宋体" w:cs="Times New Roman"/>
                <w:sz w:val="24"/>
                <w:szCs w:val="24"/>
                <w:u w:val="none"/>
              </w:rPr>
              <w:t>获取建筑信息模型工业基础类数据模型(Industry Foundation Classes</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IFC)以及对应三维点云</w:t>
            </w:r>
            <w:r>
              <w:rPr>
                <w:rFonts w:hint="eastAsia" w:ascii="Times New Roman" w:hAnsi="Times New Roman" w:eastAsia="宋体" w:cs="Times New Roman"/>
                <w:sz w:val="24"/>
                <w:szCs w:val="24"/>
                <w:u w:val="none"/>
                <w:lang w:eastAsia="zh-CN"/>
              </w:rPr>
              <w:t>；</w:t>
            </w:r>
            <w:r>
              <w:rPr>
                <w:rFonts w:hint="eastAsia" w:ascii="Times New Roman" w:hAnsi="Times New Roman" w:eastAsia="宋体" w:cs="Times New Roman"/>
                <w:sz w:val="24"/>
                <w:szCs w:val="24"/>
                <w:u w:val="none"/>
                <w:lang w:val="en-US" w:eastAsia="zh-CN"/>
              </w:rPr>
              <w:t>对</w:t>
            </w:r>
            <w:r>
              <w:rPr>
                <w:rFonts w:hint="default" w:ascii="Times New Roman" w:hAnsi="Times New Roman" w:eastAsia="宋体" w:cs="Times New Roman"/>
                <w:sz w:val="24"/>
                <w:szCs w:val="24"/>
                <w:u w:val="none"/>
              </w:rPr>
              <w:t>IFC模型中构件表面三角化</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并在同一构件内以共享边为邻接关系、以双法向约束进行区域生长</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形成表面分块</w:t>
            </w:r>
            <w:r>
              <w:rPr>
                <w:rFonts w:hint="eastAsia" w:ascii="Times New Roman" w:hAnsi="Times New Roman" w:eastAsia="宋体" w:cs="Times New Roman"/>
                <w:sz w:val="24"/>
                <w:szCs w:val="24"/>
                <w:u w:val="none"/>
                <w:lang w:eastAsia="zh-CN"/>
              </w:rPr>
              <w:t>；</w:t>
            </w:r>
            <w:r>
              <w:rPr>
                <w:rFonts w:hint="eastAsia" w:ascii="Times New Roman" w:hAnsi="Times New Roman" w:eastAsia="宋体" w:cs="Times New Roman"/>
                <w:sz w:val="24"/>
                <w:szCs w:val="24"/>
                <w:u w:val="none"/>
                <w:lang w:val="en-US" w:eastAsia="zh-CN"/>
              </w:rPr>
              <w:t>将</w:t>
            </w:r>
            <w:r>
              <w:rPr>
                <w:rFonts w:hint="default" w:ascii="Times New Roman" w:hAnsi="Times New Roman" w:eastAsia="宋体" w:cs="Times New Roman"/>
                <w:sz w:val="24"/>
                <w:szCs w:val="24"/>
                <w:u w:val="none"/>
              </w:rPr>
              <w:t>点云与IFC模型进行坐标对齐和距离关联</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将点云观测或构件级统计汇总到表面分块</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针对各表面分块构造多源证据</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将其转化为值</w:t>
            </w:r>
            <w:r>
              <w:rPr>
                <w:rFonts w:hint="eastAsia" w:ascii="Times New Roman" w:hAnsi="Times New Roman" w:eastAsia="宋体" w:cs="Times New Roman"/>
                <w:sz w:val="24"/>
                <w:szCs w:val="24"/>
                <w:u w:val="none"/>
                <w:lang w:val="en-US" w:eastAsia="zh-CN"/>
              </w:rPr>
              <w:t>与</w:t>
            </w:r>
            <w:r>
              <w:rPr>
                <w:rFonts w:hint="default" w:ascii="Times New Roman" w:hAnsi="Times New Roman" w:eastAsia="宋体" w:cs="Times New Roman"/>
                <w:sz w:val="24"/>
                <w:szCs w:val="24"/>
                <w:u w:val="none"/>
              </w:rPr>
              <w:t>缺口</w:t>
            </w:r>
            <w:r>
              <w:rPr>
                <w:rFonts w:hint="eastAsia" w:ascii="Times New Roman" w:hAnsi="Times New Roman" w:eastAsia="宋体" w:cs="Times New Roman"/>
                <w:sz w:val="24"/>
                <w:szCs w:val="24"/>
                <w:u w:val="none"/>
                <w:lang w:val="en-US" w:eastAsia="zh-CN"/>
              </w:rPr>
              <w:t>大小呈正</w:t>
            </w:r>
            <w:r>
              <w:rPr>
                <w:rFonts w:hint="default" w:ascii="Times New Roman" w:hAnsi="Times New Roman" w:eastAsia="宋体" w:cs="Times New Roman"/>
                <w:sz w:val="24"/>
                <w:szCs w:val="24"/>
                <w:u w:val="none"/>
              </w:rPr>
              <w:t>的缺口指标</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对每个表面分块实际可用的缺口指标集合进行权重重归一化</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得到表面分块缺口分数</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根据目标表面分块中心和法向生成候选补充扫描位姿</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依据正视性、视场、距离质量、距离相关分辨率质量、面积和缺口分数计算候选位姿价值</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选择下</w:t>
            </w:r>
            <w:r>
              <w:rPr>
                <w:rFonts w:hint="eastAsia" w:ascii="Times New Roman" w:hAnsi="Times New Roman" w:eastAsia="宋体" w:cs="Times New Roman"/>
                <w:sz w:val="24"/>
                <w:szCs w:val="24"/>
                <w:u w:val="none"/>
                <w:lang w:val="en-US" w:eastAsia="zh-CN"/>
              </w:rPr>
              <w:t>一</w:t>
            </w:r>
            <w:r>
              <w:rPr>
                <w:rFonts w:hint="default" w:ascii="Times New Roman" w:hAnsi="Times New Roman" w:eastAsia="宋体" w:cs="Times New Roman"/>
                <w:sz w:val="24"/>
                <w:szCs w:val="24"/>
                <w:u w:val="none"/>
              </w:rPr>
              <w:t>补充扫描位姿</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并根据新增观测执行闭环更新。</w:t>
            </w:r>
          </w:p>
        </w:tc>
      </w:tr>
      <w:tr w14:paraId="0466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1378" w:type="dxa"/>
            <w:vAlign w:val="center"/>
          </w:tcPr>
          <w:p w14:paraId="77DB61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color w:val="000000" w:themeColor="text1"/>
                <w:sz w:val="24"/>
                <w:szCs w:val="24"/>
                <w:u w:val="none"/>
                <w14:textFill>
                  <w14:solidFill>
                    <w14:schemeClr w14:val="tx1"/>
                  </w14:solidFill>
                </w14:textFill>
              </w:rPr>
            </w:pPr>
            <w:r>
              <w:rPr>
                <w:rFonts w:hint="default" w:ascii="Times New Roman" w:hAnsi="Times New Roman" w:eastAsia="宋体" w:cs="Times New Roman"/>
                <w:b/>
                <w:sz w:val="24"/>
                <w:szCs w:val="24"/>
                <w:u w:val="none"/>
              </w:rPr>
              <w:t>对比文件1</w:t>
            </w:r>
          </w:p>
        </w:tc>
        <w:tc>
          <w:tcPr>
            <w:tcW w:w="6272" w:type="dxa"/>
            <w:gridSpan w:val="3"/>
            <w:vAlign w:val="center"/>
          </w:tcPr>
          <w:p w14:paraId="72287154">
            <w:pPr>
              <w:spacing w:line="360" w:lineRule="auto"/>
              <w:rPr>
                <w:rFonts w:hint="default"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CN121121227B 一种基于三维点云和IFC模型的混摆零件板自动识别方法</w:t>
            </w:r>
          </w:p>
        </w:tc>
        <w:tc>
          <w:tcPr>
            <w:tcW w:w="1538" w:type="dxa"/>
            <w:vAlign w:val="center"/>
          </w:tcPr>
          <w:p w14:paraId="30495F3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相关度</w:t>
            </w:r>
          </w:p>
        </w:tc>
        <w:tc>
          <w:tcPr>
            <w:tcW w:w="1248" w:type="dxa"/>
            <w:vAlign w:val="center"/>
          </w:tcPr>
          <w:p w14:paraId="09D67C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000000" w:themeColor="text1"/>
                <w:sz w:val="24"/>
                <w:szCs w:val="24"/>
                <w:u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u w:val="none"/>
                <w:lang w:val="en-US" w:eastAsia="zh-CN"/>
                <w14:textFill>
                  <w14:solidFill>
                    <w14:schemeClr w14:val="tx1"/>
                  </w14:solidFill>
                </w14:textFill>
              </w:rPr>
              <w:t>一般</w:t>
            </w:r>
          </w:p>
        </w:tc>
      </w:tr>
      <w:tr w14:paraId="74A8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8" w:type="dxa"/>
            <w:vAlign w:val="center"/>
          </w:tcPr>
          <w:p w14:paraId="095755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sz w:val="24"/>
                <w:szCs w:val="24"/>
                <w:u w:val="none"/>
                <w:lang w:val="en-US" w:eastAsia="zh-CN"/>
              </w:rPr>
            </w:pPr>
            <w:r>
              <w:rPr>
                <w:rFonts w:hint="eastAsia" w:ascii="Times New Roman" w:hAnsi="Times New Roman" w:eastAsia="宋体" w:cs="Times New Roman"/>
                <w:b/>
                <w:sz w:val="24"/>
                <w:szCs w:val="24"/>
                <w:u w:val="none"/>
                <w:lang w:val="en-US" w:eastAsia="zh-CN"/>
              </w:rPr>
              <w:t>对比文件2</w:t>
            </w:r>
          </w:p>
        </w:tc>
        <w:tc>
          <w:tcPr>
            <w:tcW w:w="6272" w:type="dxa"/>
            <w:gridSpan w:val="3"/>
            <w:vAlign w:val="center"/>
          </w:tcPr>
          <w:p w14:paraId="566C3B00">
            <w:pPr>
              <w:spacing w:line="360" w:lineRule="auto"/>
              <w:rPr>
                <w:rFonts w:hint="default"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CN121580483A 基于BIM的建筑结构建模方法、装置、设备及介质</w:t>
            </w:r>
          </w:p>
        </w:tc>
        <w:tc>
          <w:tcPr>
            <w:tcW w:w="1538" w:type="dxa"/>
            <w:vAlign w:val="center"/>
          </w:tcPr>
          <w:p w14:paraId="6B81311A">
            <w:pPr>
              <w:spacing w:line="240" w:lineRule="auto"/>
              <w:jc w:val="center"/>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相关度</w:t>
            </w:r>
          </w:p>
        </w:tc>
        <w:tc>
          <w:tcPr>
            <w:tcW w:w="1248" w:type="dxa"/>
            <w:vAlign w:val="center"/>
          </w:tcPr>
          <w:p w14:paraId="2581DCE1">
            <w:pPr>
              <w:jc w:val="center"/>
              <w:rPr>
                <w:rFonts w:hint="eastAsia" w:ascii="Times New Roman" w:hAnsi="Times New Roman" w:eastAsia="宋体" w:cs="Times New Roman"/>
                <w:color w:val="000000" w:themeColor="text1"/>
                <w:sz w:val="24"/>
                <w:szCs w:val="24"/>
                <w:u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u w:val="none"/>
                <w:lang w:val="en-US" w:eastAsia="zh-CN"/>
                <w14:textFill>
                  <w14:solidFill>
                    <w14:schemeClr w14:val="tx1"/>
                  </w14:solidFill>
                </w14:textFill>
              </w:rPr>
              <w:t>一般</w:t>
            </w:r>
          </w:p>
        </w:tc>
      </w:tr>
      <w:tr w14:paraId="4A11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1378" w:type="dxa"/>
            <w:vAlign w:val="center"/>
          </w:tcPr>
          <w:p w14:paraId="65168163">
            <w:pPr>
              <w:spacing w:line="240" w:lineRule="auto"/>
              <w:jc w:val="center"/>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结论</w:t>
            </w:r>
          </w:p>
          <w:p w14:paraId="2B6EA35C">
            <w:pPr>
              <w:spacing w:line="240" w:lineRule="auto"/>
              <w:jc w:val="center"/>
              <w:rPr>
                <w:rFonts w:hint="default" w:ascii="Times New Roman" w:hAnsi="Times New Roman" w:eastAsia="宋体" w:cs="Times New Roman"/>
                <w:b/>
                <w:sz w:val="24"/>
                <w:szCs w:val="24"/>
                <w:u w:val="none"/>
              </w:rPr>
            </w:pPr>
            <w:r>
              <w:rPr>
                <w:rFonts w:hint="default" w:ascii="Times New Roman" w:hAnsi="Times New Roman" w:eastAsia="宋体" w:cs="Times New Roman"/>
                <w:b/>
                <w:sz w:val="24"/>
                <w:szCs w:val="24"/>
                <w:u w:val="none"/>
              </w:rPr>
              <w:t>及建议</w:t>
            </w:r>
          </w:p>
        </w:tc>
        <w:tc>
          <w:tcPr>
            <w:tcW w:w="9058" w:type="dxa"/>
            <w:gridSpan w:val="5"/>
          </w:tcPr>
          <w:p w14:paraId="67445560">
            <w:pPr>
              <w:spacing w:line="440" w:lineRule="exact"/>
              <w:ind w:firstLine="480" w:firstLineChars="200"/>
              <w:rPr>
                <w:rFonts w:hint="default" w:ascii="Times New Roman" w:hAnsi="Times New Roman" w:eastAsia="宋体" w:cs="Times New Roman"/>
                <w:sz w:val="24"/>
                <w:szCs w:val="24"/>
                <w:u w:val="none"/>
              </w:rPr>
            </w:pPr>
            <w:r>
              <w:rPr>
                <w:rFonts w:hint="default" w:ascii="Times New Roman" w:hAnsi="Times New Roman" w:eastAsia="宋体" w:cs="Times New Roman"/>
                <w:sz w:val="24"/>
                <w:szCs w:val="24"/>
                <w:u w:val="none"/>
              </w:rPr>
              <w:t>本案通过IFC构件内表面分块</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把缺口定位粒度从构件整体细化到局部表面区域</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通过候选三角面同时满足正在扩展的三角面法向和种子三角面法向约束</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降低链式误合并风险</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通过把不同来源证据统一转化为方向一致的缺口指标</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使观测、几何、角度、语义和材料证据可比较、可融合</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通过可用指标集合上的权重重归一化</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避免不可获得证据被固定解释为无缺口或最大缺口</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通过联合表面分块缺口分数、面积和视点质量计算补充扫描价值</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使候选位姿优先覆盖高缺口且具有较好观测质量的区域</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通过新增观测后更新表面分块证据并重新规划</w:t>
            </w:r>
            <w:r>
              <w:rPr>
                <w:rFonts w:hint="eastAsia" w:ascii="Times New Roman" w:hAnsi="Times New Roman" w:eastAsia="宋体" w:cs="Times New Roman"/>
                <w:sz w:val="24"/>
                <w:szCs w:val="24"/>
                <w:u w:val="none"/>
                <w:lang w:eastAsia="zh-CN"/>
              </w:rPr>
              <w:t>，</w:t>
            </w:r>
            <w:r>
              <w:rPr>
                <w:rFonts w:hint="default" w:ascii="Times New Roman" w:hAnsi="Times New Roman" w:eastAsia="宋体" w:cs="Times New Roman"/>
                <w:sz w:val="24"/>
                <w:szCs w:val="24"/>
                <w:u w:val="none"/>
              </w:rPr>
              <w:t>可减少重复采集并逐步降低剩余缺口。</w:t>
            </w:r>
          </w:p>
          <w:p w14:paraId="4EB35AB0">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对比文件1(CN121121227B，申请日2025.12.12)公开了一种基于三维点云和IFC模型的混摆零件板自动识别方法，该方法包括：</w:t>
            </w:r>
          </w:p>
          <w:p w14:paraId="70606AE7">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(参见对比文件1说明书摘要)获取IFC模型数据库中的理论模型的理论点云，获取现场折线点云；</w:t>
            </w:r>
          </w:p>
          <w:p w14:paraId="06E95FE8">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对所述现场折线点云进行处理，以提取出表达构件轮廓的现场轮廓点云；对所述现场轮廓点云进行修复和分析，以提取其关键几何特征；</w:t>
            </w:r>
          </w:p>
          <w:p w14:paraId="6504F71A">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建立现场轮廓点云与理论点云之间的特征点对应关系；</w:t>
            </w:r>
          </w:p>
          <w:p w14:paraId="32DAA7C4">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通过初筛、粗配准和精配准，将所述现场轮廓点云与多个理论点云进行配准，并根据配准得分确定识别结果。</w:t>
            </w:r>
          </w:p>
          <w:p w14:paraId="3DDDA694">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本案与对比文件1相比，主要区别在于：</w:t>
            </w:r>
          </w:p>
          <w:p w14:paraId="154D3EAE">
            <w:pPr>
              <w:spacing w:line="440" w:lineRule="exact"/>
              <w:ind w:firstLine="480" w:firstLineChars="200"/>
              <w:rPr>
                <w:rFonts w:hint="eastAsia" w:ascii="Times New Roman" w:hAnsi="Times New Roman" w:eastAsia="宋体" w:cs="Times New Roman"/>
                <w:sz w:val="24"/>
                <w:szCs w:val="24"/>
                <w:u w:val="none"/>
                <w:lang w:eastAsia="zh-CN"/>
              </w:rPr>
            </w:pPr>
            <w:r>
              <w:rPr>
                <w:rFonts w:hint="eastAsia" w:ascii="Times New Roman" w:hAnsi="Times New Roman" w:eastAsia="宋体" w:cs="Times New Roman"/>
                <w:sz w:val="24"/>
                <w:szCs w:val="24"/>
                <w:u w:val="none"/>
                <w:lang w:val="en-US" w:eastAsia="zh-CN"/>
              </w:rPr>
              <w:t>(1)对</w:t>
            </w:r>
            <w:r>
              <w:rPr>
                <w:rFonts w:hint="default" w:ascii="Times New Roman" w:hAnsi="Times New Roman" w:eastAsia="宋体" w:cs="Times New Roman"/>
                <w:sz w:val="24"/>
                <w:szCs w:val="24"/>
                <w:u w:val="none"/>
              </w:rPr>
              <w:t>IFC模型中构件表面三角化</w:t>
            </w:r>
            <w:r>
              <w:rPr>
                <w:rFonts w:hint="eastAsia" w:ascii="Times New Roman" w:hAnsi="Times New Roman" w:eastAsia="宋体" w:cs="Times New Roman"/>
                <w:sz w:val="24"/>
                <w:szCs w:val="24"/>
                <w:u w:val="none"/>
                <w:lang w:eastAsia="zh-CN"/>
              </w:rPr>
              <w:t>，并在同一构件内以共享边为邻接关系、以双法向约束进行区域生长，形成表面分块；</w:t>
            </w:r>
          </w:p>
          <w:p w14:paraId="6707D3A3">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(2)将观测、几何覆盖、角度、语义和材料证据转化为方向一致的缺口指标，在可用指标集合上重归一化融合得到缺口分数，筛选高缺口表面分块，生成候选补充扫描视点并计算价值，再根据新增观测闭环更新。</w:t>
            </w:r>
          </w:p>
          <w:p w14:paraId="209AA800">
            <w:pPr>
              <w:spacing w:line="440" w:lineRule="exact"/>
              <w:ind w:firstLine="480" w:firstLineChars="200"/>
              <w:rPr>
                <w:rFonts w:hint="default"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基于上述区别技术特征，本案解决的技术问题是：1、扫描后局部表面缺口难定位；2、补充扫描位姿难确定。</w:t>
            </w:r>
          </w:p>
          <w:p w14:paraId="08A51FB5">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针对区别技术特征(1)，暂未检索到相似的现有技术。</w:t>
            </w:r>
          </w:p>
          <w:p w14:paraId="5565627D">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针对区别技术特征(2)，对比文件2(CN121580483A，申请日2025.11.21)公开了一种基于BIM的建筑结构建模方法，包括：</w:t>
            </w:r>
          </w:p>
          <w:p w14:paraId="00ED0EEA">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(参见对比文件2说明书摘要)按扫描计划进行多模态数据采集，得到融合点云；</w:t>
            </w:r>
          </w:p>
          <w:p w14:paraId="3000D8F0">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对融合点云进行点云预处理生成清洗后的点云数据和不确定度场，并基于不确定度场对清洗后的点云数据进行语义分割得到不确定度增强的语义点云；</w:t>
            </w:r>
          </w:p>
          <w:p w14:paraId="1435D055">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基于不确定度场采用结构感知的参数化拟合将语义点云映射为具有参数描述与置信度的参数化构件集合；</w:t>
            </w:r>
          </w:p>
          <w:p w14:paraId="0B7F107D">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根据参数化构件集合和语义点云识别节点连接集合，并根据构造规则库对节点连接集合进行构造合规性校验得到构造合规性报告；</w:t>
            </w:r>
          </w:p>
          <w:p w14:paraId="14DBA51C">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基于构造合规性报告，将参数化构件集合与节点连接集合映射并导出为分析就绪IFC模型。</w:t>
            </w:r>
          </w:p>
          <w:p w14:paraId="546F3ADF">
            <w:pPr>
              <w:spacing w:line="440" w:lineRule="exact"/>
              <w:ind w:firstLine="480" w:firstLineChars="200"/>
              <w:rPr>
                <w:rFonts w:hint="default"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(参见对比文件2权利要求6)</w:t>
            </w:r>
            <w:r>
              <w:rPr>
                <w:rFonts w:hint="default" w:ascii="Times New Roman" w:hAnsi="Times New Roman" w:eastAsia="宋体" w:cs="Times New Roman"/>
                <w:sz w:val="24"/>
                <w:szCs w:val="24"/>
                <w:u w:val="none"/>
                <w:lang w:val="en-US" w:eastAsia="zh-CN"/>
              </w:rPr>
              <w:t>基于所述参数化构件集合的空间位置关系定位所述参数化构件集合中的潜在连接区域，并</w:t>
            </w:r>
            <w:r>
              <w:rPr>
                <w:rFonts w:hint="default" w:ascii="Times New Roman" w:hAnsi="Times New Roman" w:eastAsia="宋体" w:cs="Times New Roman"/>
                <w:b/>
                <w:bCs/>
                <w:sz w:val="24"/>
                <w:szCs w:val="24"/>
                <w:u w:val="none"/>
                <w:lang w:val="en-US" w:eastAsia="zh-CN"/>
              </w:rPr>
              <w:t>在所述语义点云中提取连接区域的特征点云证据作为连接识别证据</w:t>
            </w:r>
            <w:r>
              <w:rPr>
                <w:rFonts w:hint="default" w:ascii="Times New Roman" w:hAnsi="Times New Roman" w:eastAsia="宋体" w:cs="Times New Roman"/>
                <w:sz w:val="24"/>
                <w:szCs w:val="24"/>
                <w:u w:val="none"/>
                <w:lang w:val="en-US" w:eastAsia="zh-CN"/>
              </w:rPr>
              <w:t>；</w:t>
            </w:r>
          </w:p>
          <w:p w14:paraId="2E10D302">
            <w:pPr>
              <w:spacing w:line="440" w:lineRule="exact"/>
              <w:ind w:firstLine="480" w:firstLineChars="200"/>
              <w:rPr>
                <w:rFonts w:hint="default" w:ascii="Times New Roman" w:hAnsi="Times New Roman" w:eastAsia="宋体" w:cs="Times New Roman"/>
                <w:sz w:val="24"/>
                <w:szCs w:val="24"/>
                <w:u w:val="none"/>
                <w:lang w:val="en-US" w:eastAsia="zh-CN"/>
              </w:rPr>
            </w:pPr>
            <w:r>
              <w:rPr>
                <w:rFonts w:hint="default" w:ascii="Times New Roman" w:hAnsi="Times New Roman" w:eastAsia="宋体" w:cs="Times New Roman"/>
                <w:sz w:val="24"/>
                <w:szCs w:val="24"/>
                <w:u w:val="none"/>
                <w:lang w:val="en-US" w:eastAsia="zh-CN"/>
              </w:rPr>
              <w:t>基于图形匹配，将所述潜在连接区域与预设的BIM连接族与配筋族库进行匹配，</w:t>
            </w:r>
            <w:r>
              <w:rPr>
                <w:rFonts w:hint="default" w:ascii="Times New Roman" w:hAnsi="Times New Roman" w:eastAsia="宋体" w:cs="Times New Roman"/>
                <w:b/>
                <w:bCs/>
                <w:sz w:val="24"/>
                <w:szCs w:val="24"/>
                <w:u w:val="none"/>
                <w:lang w:val="en-US" w:eastAsia="zh-CN"/>
              </w:rPr>
              <w:t>确定符合连接识别证据的连接族、配筋族及其对应参数</w:t>
            </w:r>
            <w:r>
              <w:rPr>
                <w:rFonts w:hint="default" w:ascii="Times New Roman" w:hAnsi="Times New Roman" w:eastAsia="宋体" w:cs="Times New Roman"/>
                <w:sz w:val="24"/>
                <w:szCs w:val="24"/>
                <w:u w:val="none"/>
                <w:lang w:val="en-US" w:eastAsia="zh-CN"/>
              </w:rPr>
              <w:t xml:space="preserve">，得到所述节点连接集合； </w:t>
            </w:r>
          </w:p>
          <w:p w14:paraId="234D9E94">
            <w:pPr>
              <w:spacing w:line="440" w:lineRule="exact"/>
              <w:ind w:firstLine="480" w:firstLineChars="200"/>
              <w:rPr>
                <w:rFonts w:hint="default" w:ascii="Times New Roman" w:hAnsi="Times New Roman" w:eastAsia="宋体" w:cs="Times New Roman"/>
                <w:sz w:val="24"/>
                <w:szCs w:val="24"/>
                <w:u w:val="none"/>
                <w:lang w:val="en-US" w:eastAsia="zh-CN"/>
              </w:rPr>
            </w:pPr>
            <w:r>
              <w:rPr>
                <w:rFonts w:hint="default" w:ascii="Times New Roman" w:hAnsi="Times New Roman" w:eastAsia="宋体" w:cs="Times New Roman"/>
                <w:sz w:val="24"/>
                <w:szCs w:val="24"/>
                <w:u w:val="none"/>
                <w:lang w:val="en-US" w:eastAsia="zh-CN"/>
              </w:rPr>
              <w:t>根据构造规则库对所述节点连接集合进行可建造性校验，并将校验结果中所有不合格和置信度不满足预设阈值项列入构造合规性报告；所述可建造性校验包括但不限于碰撞检测、配筋间距校验、锚固长度校验与最小净距校验。</w:t>
            </w:r>
          </w:p>
          <w:p w14:paraId="6799BE6B">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(参见对比文件2说明书第[0056]段)基于清洗后的点云数据与不确定度场进行的语义分割是</w:t>
            </w:r>
            <w:r>
              <w:rPr>
                <w:rFonts w:hint="eastAsia" w:ascii="Times New Roman" w:hAnsi="Times New Roman" w:eastAsia="宋体" w:cs="Times New Roman"/>
                <w:b/>
                <w:bCs/>
                <w:sz w:val="24"/>
                <w:szCs w:val="24"/>
                <w:u w:val="none"/>
                <w:lang w:val="en-US" w:eastAsia="zh-CN"/>
              </w:rPr>
              <w:t>将点云中的几何证据映射为结构语</w:t>
            </w:r>
            <w:bookmarkStart w:id="0" w:name="_GoBack"/>
            <w:bookmarkEnd w:id="0"/>
            <w:r>
              <w:rPr>
                <w:rFonts w:hint="eastAsia" w:ascii="Times New Roman" w:hAnsi="Times New Roman" w:eastAsia="宋体" w:cs="Times New Roman"/>
                <w:b/>
                <w:bCs/>
                <w:sz w:val="24"/>
                <w:szCs w:val="24"/>
                <w:u w:val="none"/>
                <w:lang w:val="en-US" w:eastAsia="zh-CN"/>
              </w:rPr>
              <w:t>义类别标签</w:t>
            </w:r>
            <w:r>
              <w:rPr>
                <w:rFonts w:hint="eastAsia" w:ascii="Times New Roman" w:hAnsi="Times New Roman" w:eastAsia="宋体" w:cs="Times New Roman"/>
                <w:sz w:val="24"/>
                <w:szCs w:val="24"/>
                <w:u w:val="none"/>
                <w:lang w:val="en-US" w:eastAsia="zh-CN"/>
              </w:rPr>
              <w:t>，如梁、柱、楼板、墙体、钢节点、开洞等，并为每个点计算或校正对应的点级置信度，从而得到不确定度增强的语义点云。</w:t>
            </w:r>
          </w:p>
          <w:p w14:paraId="2B5E9737">
            <w:pPr>
              <w:spacing w:line="440" w:lineRule="exact"/>
              <w:ind w:firstLine="480" w:firstLineChars="200"/>
              <w:rPr>
                <w:rFonts w:hint="eastAsia"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(参见对比文件2说明书第[0058]段)结构感知的参数化拟合是指采用针对不同构件类别预定义的参数化构件表达，如用轴线、截面属性、厚度、配筋分布等参数表示梁、柱、墙、板等，并</w:t>
            </w:r>
            <w:r>
              <w:rPr>
                <w:rFonts w:hint="eastAsia" w:ascii="Times New Roman" w:hAnsi="Times New Roman" w:eastAsia="宋体" w:cs="Times New Roman"/>
                <w:b/>
                <w:bCs/>
                <w:sz w:val="24"/>
                <w:szCs w:val="24"/>
                <w:u w:val="none"/>
                <w:lang w:val="en-US" w:eastAsia="zh-CN"/>
              </w:rPr>
              <w:t>利用语义点云中与之对应的点级证据进行参数估计与形状恢复</w:t>
            </w:r>
            <w:r>
              <w:rPr>
                <w:rFonts w:hint="eastAsia" w:ascii="Times New Roman" w:hAnsi="Times New Roman" w:eastAsia="宋体" w:cs="Times New Roman"/>
                <w:sz w:val="24"/>
                <w:szCs w:val="24"/>
                <w:u w:val="none"/>
                <w:lang w:val="en-US" w:eastAsia="zh-CN"/>
              </w:rPr>
              <w:t>。</w:t>
            </w:r>
          </w:p>
          <w:p w14:paraId="59961083">
            <w:pPr>
              <w:spacing w:line="440" w:lineRule="exact"/>
              <w:ind w:firstLine="480" w:firstLineChars="200"/>
              <w:rPr>
                <w:rFonts w:hint="default"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(参见对比文件2说明书第[0060]段)</w:t>
            </w:r>
            <w:r>
              <w:rPr>
                <w:rFonts w:hint="default" w:ascii="Times New Roman" w:hAnsi="Times New Roman" w:eastAsia="宋体" w:cs="Times New Roman"/>
                <w:sz w:val="24"/>
                <w:szCs w:val="24"/>
                <w:u w:val="none"/>
                <w:lang w:val="en-US" w:eastAsia="zh-CN"/>
              </w:rPr>
              <w:t>参数化构件集合的空间位置关系指各参数化构件在三维空间中的几何邻接、相交或接触态势，</w:t>
            </w:r>
            <w:r>
              <w:rPr>
                <w:rFonts w:hint="default" w:ascii="Times New Roman" w:hAnsi="Times New Roman" w:eastAsia="宋体" w:cs="Times New Roman"/>
                <w:b/>
                <w:bCs/>
                <w:sz w:val="24"/>
                <w:szCs w:val="24"/>
                <w:u w:val="none"/>
                <w:lang w:val="en-US" w:eastAsia="zh-CN"/>
              </w:rPr>
              <w:t>语义点云的连接区特征指在语义化后的点云中那些表征梁</w:t>
            </w:r>
            <w:r>
              <w:rPr>
                <w:rFonts w:hint="default" w:ascii="Times New Roman" w:hAnsi="Times New Roman" w:eastAsia="宋体" w:cs="Times New Roman"/>
                <w:b/>
                <w:bCs/>
                <w:sz w:val="24"/>
                <w:szCs w:val="24"/>
                <w:u w:val="none"/>
                <w:lang w:val="en-US" w:eastAsia="zh-CN"/>
              </w:rPr>
              <w:noBreakHyphen/>
            </w:r>
            <w:r>
              <w:rPr>
                <w:rFonts w:hint="default" w:ascii="Times New Roman" w:hAnsi="Times New Roman" w:eastAsia="宋体" w:cs="Times New Roman"/>
                <w:b/>
                <w:bCs/>
                <w:sz w:val="24"/>
                <w:szCs w:val="24"/>
                <w:u w:val="none"/>
                <w:lang w:val="en-US" w:eastAsia="zh-CN"/>
              </w:rPr>
              <w:t>柱、楼板</w:t>
            </w:r>
            <w:r>
              <w:rPr>
                <w:rFonts w:hint="default" w:ascii="Times New Roman" w:hAnsi="Times New Roman" w:eastAsia="宋体" w:cs="Times New Roman"/>
                <w:b/>
                <w:bCs/>
                <w:sz w:val="24"/>
                <w:szCs w:val="24"/>
                <w:u w:val="none"/>
                <w:lang w:val="en-US" w:eastAsia="zh-CN"/>
              </w:rPr>
              <w:noBreakHyphen/>
            </w:r>
            <w:r>
              <w:rPr>
                <w:rFonts w:hint="default" w:ascii="Times New Roman" w:hAnsi="Times New Roman" w:eastAsia="宋体" w:cs="Times New Roman"/>
                <w:b/>
                <w:bCs/>
                <w:sz w:val="24"/>
                <w:szCs w:val="24"/>
                <w:u w:val="none"/>
                <w:lang w:val="en-US" w:eastAsia="zh-CN"/>
              </w:rPr>
              <w:t>梁或钢节点等处的局部几何与光学证据</w:t>
            </w:r>
            <w:r>
              <w:rPr>
                <w:rFonts w:hint="default" w:ascii="Times New Roman" w:hAnsi="Times New Roman" w:eastAsia="宋体" w:cs="Times New Roman"/>
                <w:sz w:val="24"/>
                <w:szCs w:val="24"/>
                <w:u w:val="none"/>
                <w:lang w:val="en-US" w:eastAsia="zh-CN"/>
              </w:rPr>
              <w:t>，如线状密集点群、截面突变、材料反差等。</w:t>
            </w:r>
          </w:p>
          <w:p w14:paraId="083E720A">
            <w:pPr>
              <w:spacing w:line="440" w:lineRule="exact"/>
              <w:ind w:firstLine="480" w:firstLineChars="200"/>
              <w:rPr>
                <w:rFonts w:hint="default"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根据对比文件2公开的内容，基于参数化构件与语义证据识别节点连接集合并按构造规则库校验，可提前发现构造/配筋等潜在问题并形成构造合规性报告，从而降低现场返工与施工风险；与本案相比，区别在于：未利用语义证据进行缺口定位；未构造多源证据。由于“证据”在对比文件2中的作用与其在本案中所起作用并不相同，本领域技术人员无法从对比文件2中得到采用上述区别技术特征(2)的技术启示。</w:t>
            </w:r>
          </w:p>
          <w:p w14:paraId="3EA8FDB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u w:val="none"/>
                <w:lang w:val="en-US" w:eastAsia="zh-CN"/>
              </w:rPr>
            </w:pPr>
            <w:r>
              <w:rPr>
                <w:rFonts w:hint="eastAsia" w:ascii="Times New Roman" w:hAnsi="Times New Roman" w:eastAsia="宋体" w:cs="Times New Roman"/>
                <w:sz w:val="24"/>
                <w:szCs w:val="24"/>
                <w:u w:val="none"/>
                <w:lang w:val="en-US" w:eastAsia="zh-CN"/>
              </w:rPr>
              <w:t>基于以上内容，本案与对比文件1-2及本领域公知常识的结合相比，具有一定创造性，可以尝试申请发明专利。</w:t>
            </w:r>
          </w:p>
          <w:p w14:paraId="069025FA">
            <w:pPr>
              <w:keepNext w:val="0"/>
              <w:keepLines w:val="0"/>
              <w:pageBreakBefore w:val="0"/>
              <w:widowControl w:val="0"/>
              <w:kinsoku/>
              <w:wordWrap/>
              <w:overflowPunct/>
              <w:topLinePunct w:val="0"/>
              <w:autoSpaceDE/>
              <w:autoSpaceDN/>
              <w:bidi w:val="0"/>
              <w:adjustRightInd/>
              <w:snapToGrid/>
              <w:spacing w:before="313" w:beforeLines="100" w:line="440" w:lineRule="exact"/>
              <w:ind w:firstLine="482" w:firstLineChars="200"/>
              <w:textAlignment w:val="auto"/>
              <w:rPr>
                <w:rFonts w:hint="default" w:ascii="Times New Roman" w:hAnsi="Times New Roman" w:eastAsia="宋体" w:cs="Times New Roman"/>
                <w:b/>
                <w:bCs/>
                <w:sz w:val="24"/>
                <w:szCs w:val="24"/>
                <w:u w:val="none"/>
              </w:rPr>
            </w:pPr>
            <w:r>
              <w:rPr>
                <w:rFonts w:hint="default" w:ascii="Times New Roman" w:hAnsi="Times New Roman" w:eastAsia="宋体" w:cs="Times New Roman"/>
                <w:b/>
                <w:bCs/>
                <w:sz w:val="24"/>
                <w:szCs w:val="24"/>
                <w:u w:val="none"/>
              </w:rPr>
              <w:t>补充建议：</w:t>
            </w:r>
          </w:p>
          <w:p w14:paraId="488A02CE">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eastAsia" w:ascii="Times New Roman" w:hAnsi="Times New Roman" w:eastAsia="宋体" w:cs="Times New Roman"/>
                <w:b/>
                <w:bCs/>
                <w:sz w:val="24"/>
                <w:szCs w:val="24"/>
                <w:u w:val="none"/>
                <w:lang w:val="en-US" w:eastAsia="zh-CN"/>
              </w:rPr>
            </w:pPr>
            <w:r>
              <w:rPr>
                <w:rFonts w:hint="eastAsia" w:ascii="Times New Roman" w:hAnsi="Times New Roman" w:eastAsia="宋体" w:cs="Times New Roman"/>
                <w:b/>
                <w:bCs/>
                <w:sz w:val="24"/>
                <w:szCs w:val="24"/>
                <w:u w:val="none"/>
                <w:lang w:val="en-US" w:eastAsia="zh-CN"/>
              </w:rPr>
              <w:t>1、附图不够清晰，请提供原文件。</w:t>
            </w:r>
          </w:p>
          <w:p w14:paraId="7DF02698">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default" w:ascii="Times New Roman" w:hAnsi="Times New Roman" w:eastAsia="宋体" w:cs="Times New Roman"/>
                <w:b/>
                <w:bCs/>
                <w:sz w:val="24"/>
                <w:szCs w:val="24"/>
                <w:u w:val="none"/>
                <w:lang w:val="en-US" w:eastAsia="zh-CN"/>
              </w:rPr>
            </w:pPr>
            <w:r>
              <w:rPr>
                <w:rFonts w:hint="eastAsia" w:ascii="Times New Roman" w:hAnsi="Times New Roman" w:eastAsia="宋体" w:cs="Times New Roman"/>
                <w:b/>
                <w:bCs/>
                <w:sz w:val="24"/>
                <w:szCs w:val="24"/>
                <w:u w:val="none"/>
                <w:lang w:val="en-US" w:eastAsia="zh-CN"/>
              </w:rPr>
              <w:t>2、附图3-5以及7-12，请分别补充相关的文字描述。</w:t>
            </w:r>
          </w:p>
          <w:p w14:paraId="4E7DC595">
            <w:pPr>
              <w:keepNext w:val="0"/>
              <w:keepLines w:val="0"/>
              <w:pageBreakBefore w:val="0"/>
              <w:widowControl w:val="0"/>
              <w:kinsoku/>
              <w:wordWrap/>
              <w:overflowPunct/>
              <w:topLinePunct w:val="0"/>
              <w:autoSpaceDE/>
              <w:autoSpaceDN/>
              <w:bidi w:val="0"/>
              <w:adjustRightInd/>
              <w:snapToGrid/>
              <w:spacing w:line="440" w:lineRule="exact"/>
              <w:ind w:firstLine="482" w:firstLineChars="200"/>
              <w:textAlignment w:val="auto"/>
              <w:rPr>
                <w:rFonts w:hint="default" w:ascii="Times New Roman" w:hAnsi="Times New Roman" w:eastAsia="宋体" w:cs="Times New Roman"/>
                <w:sz w:val="24"/>
                <w:szCs w:val="24"/>
                <w:u w:val="none"/>
                <w:lang w:val="en-US" w:eastAsia="zh-CN"/>
              </w:rPr>
            </w:pPr>
            <w:r>
              <w:rPr>
                <w:rFonts w:hint="eastAsia" w:ascii="Times New Roman" w:hAnsi="Times New Roman" w:eastAsia="宋体" w:cs="Times New Roman"/>
                <w:b/>
                <w:bCs/>
                <w:sz w:val="24"/>
                <w:szCs w:val="24"/>
                <w:u w:val="none"/>
                <w:lang w:val="en-US" w:eastAsia="zh-CN"/>
              </w:rPr>
              <w:t>3、其余建议详见批注文件。</w:t>
            </w:r>
          </w:p>
          <w:p w14:paraId="7AC54EF7">
            <w:pPr>
              <w:spacing w:line="440" w:lineRule="exact"/>
              <w:ind w:firstLine="480" w:firstLineChars="200"/>
              <w:rPr>
                <w:rFonts w:hint="eastAsia" w:ascii="Times New Roman" w:hAnsi="Times New Roman" w:eastAsia="宋体" w:cs="Times New Roman"/>
                <w:color w:val="auto"/>
                <w:sz w:val="24"/>
                <w:szCs w:val="24"/>
                <w:u w:val="none"/>
                <w:lang w:val="en-US" w:eastAsia="zh-CN"/>
              </w:rPr>
            </w:pPr>
            <w:r>
              <w:rPr>
                <w:rFonts w:hint="default" w:ascii="Times New Roman" w:hAnsi="Times New Roman" w:eastAsia="宋体" w:cs="Times New Roman"/>
                <w:color w:val="auto"/>
                <w:sz w:val="24"/>
                <w:szCs w:val="24"/>
                <w:u w:val="none"/>
                <w:lang w:val="en-US" w:eastAsia="zh-CN"/>
              </w:rPr>
              <w:t>以上若有疑问或不清楚，请及时与我方沟通</w:t>
            </w:r>
            <w:r>
              <w:rPr>
                <w:rFonts w:hint="eastAsia" w:ascii="Times New Roman" w:hAnsi="Times New Roman" w:eastAsia="宋体" w:cs="Times New Roman"/>
                <w:color w:val="auto"/>
                <w:sz w:val="24"/>
                <w:szCs w:val="24"/>
                <w:u w:val="none"/>
                <w:lang w:val="en-US" w:eastAsia="zh-CN"/>
              </w:rPr>
              <w:t>。</w:t>
            </w:r>
          </w:p>
          <w:p w14:paraId="630C25F0">
            <w:pPr>
              <w:spacing w:line="440" w:lineRule="exact"/>
              <w:ind w:firstLine="480" w:firstLineChars="200"/>
              <w:rPr>
                <w:rFonts w:hint="default" w:ascii="Times New Roman" w:hAnsi="Times New Roman" w:eastAsia="宋体" w:cs="Times New Roman"/>
                <w:sz w:val="24"/>
                <w:szCs w:val="24"/>
                <w:u w:val="none"/>
              </w:rPr>
            </w:pPr>
            <w:r>
              <w:rPr>
                <w:rFonts w:hint="eastAsia" w:ascii="Times New Roman" w:hAnsi="Times New Roman" w:eastAsia="宋体" w:cs="Times New Roman"/>
                <w:color w:val="auto"/>
                <w:sz w:val="24"/>
                <w:szCs w:val="24"/>
                <w:u w:val="none"/>
                <w:lang w:val="en-US" w:eastAsia="zh-CN"/>
              </w:rPr>
              <w:t>代理人：李家骏；</w:t>
            </w:r>
            <w:r>
              <w:rPr>
                <w:rFonts w:hint="default" w:ascii="Times New Roman" w:hAnsi="Times New Roman" w:eastAsia="宋体" w:cs="Times New Roman"/>
                <w:color w:val="auto"/>
                <w:sz w:val="24"/>
                <w:szCs w:val="24"/>
                <w:u w:val="none"/>
                <w:lang w:val="en-US" w:eastAsia="zh-CN"/>
              </w:rPr>
              <w:t>电话：</w:t>
            </w:r>
            <w:r>
              <w:rPr>
                <w:rFonts w:hint="eastAsia" w:ascii="Times New Roman" w:hAnsi="Times New Roman" w:eastAsia="宋体" w:cs="Times New Roman"/>
                <w:color w:val="auto"/>
                <w:sz w:val="24"/>
                <w:szCs w:val="24"/>
                <w:u w:val="none"/>
                <w:lang w:val="en-US" w:eastAsia="zh-CN"/>
              </w:rPr>
              <w:t>18260037065</w:t>
            </w:r>
            <w:r>
              <w:rPr>
                <w:rFonts w:hint="default" w:ascii="Times New Roman" w:hAnsi="Times New Roman" w:eastAsia="宋体" w:cs="Times New Roman"/>
                <w:color w:val="auto"/>
                <w:sz w:val="24"/>
                <w:szCs w:val="24"/>
                <w:u w:val="none"/>
                <w:lang w:val="en-US" w:eastAsia="zh-CN"/>
              </w:rPr>
              <w:t>。</w:t>
            </w:r>
          </w:p>
        </w:tc>
      </w:tr>
    </w:tbl>
    <w:p w14:paraId="2853DC02">
      <w:pPr>
        <w:rPr>
          <w:rFonts w:hint="eastAsia"/>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6DC0A">
    <w:pPr>
      <w:pStyle w:val="5"/>
      <w:jc w:val="both"/>
      <w:rPr>
        <w:rFonts w:hint="eastAsia"/>
      </w:rPr>
    </w:pPr>
    <w:r>
      <w:drawing>
        <wp:anchor distT="0" distB="0" distL="114300" distR="114300" simplePos="0" relativeHeight="251659264" behindDoc="0" locked="0" layoutInCell="1" allowOverlap="1">
          <wp:simplePos x="0" y="0"/>
          <wp:positionH relativeFrom="column">
            <wp:posOffset>4334510</wp:posOffset>
          </wp:positionH>
          <wp:positionV relativeFrom="paragraph">
            <wp:posOffset>-252095</wp:posOffset>
          </wp:positionV>
          <wp:extent cx="1061720" cy="396240"/>
          <wp:effectExtent l="0" t="0" r="5080" b="444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2000" cy="396000"/>
                  </a:xfrm>
                  <a:prstGeom prst="rect">
                    <a:avLst/>
                  </a:prstGeom>
                </pic:spPr>
              </pic:pic>
            </a:graphicData>
          </a:graphic>
        </wp:anchor>
      </w:drawing>
    </w:r>
    <w:r>
      <w:rPr>
        <w:rFonts w:hint="eastAsia"/>
      </w:rPr>
      <w:t>知识诠释专业</w:t>
    </w:r>
    <w:r>
      <w:rPr>
        <w:rFonts w:eastAsiaTheme="minorHAnsi"/>
        <w:b/>
      </w:rPr>
      <w:t>·</w:t>
    </w:r>
    <w:r>
      <w:rPr>
        <w:rFonts w:hint="eastAsia"/>
      </w:rPr>
      <w:t>智慧引来未来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AE0"/>
    <w:rsid w:val="00007BBB"/>
    <w:rsid w:val="00063ED8"/>
    <w:rsid w:val="0008344F"/>
    <w:rsid w:val="00105CC5"/>
    <w:rsid w:val="001603CA"/>
    <w:rsid w:val="00167AE6"/>
    <w:rsid w:val="001974B5"/>
    <w:rsid w:val="001D2520"/>
    <w:rsid w:val="001D7125"/>
    <w:rsid w:val="001E16FF"/>
    <w:rsid w:val="00217875"/>
    <w:rsid w:val="002265BD"/>
    <w:rsid w:val="00226A4A"/>
    <w:rsid w:val="00236E70"/>
    <w:rsid w:val="002553BF"/>
    <w:rsid w:val="00280805"/>
    <w:rsid w:val="002949B5"/>
    <w:rsid w:val="003255AC"/>
    <w:rsid w:val="00337023"/>
    <w:rsid w:val="00361E26"/>
    <w:rsid w:val="003A2887"/>
    <w:rsid w:val="003E7F61"/>
    <w:rsid w:val="00405130"/>
    <w:rsid w:val="00425E69"/>
    <w:rsid w:val="0047660A"/>
    <w:rsid w:val="00476EBF"/>
    <w:rsid w:val="00482CCD"/>
    <w:rsid w:val="00536B66"/>
    <w:rsid w:val="00540B35"/>
    <w:rsid w:val="0057555A"/>
    <w:rsid w:val="005D740F"/>
    <w:rsid w:val="00607BAA"/>
    <w:rsid w:val="00611281"/>
    <w:rsid w:val="006170CB"/>
    <w:rsid w:val="006511F8"/>
    <w:rsid w:val="006B0C31"/>
    <w:rsid w:val="006B0D63"/>
    <w:rsid w:val="006B4349"/>
    <w:rsid w:val="006C1A5F"/>
    <w:rsid w:val="006C768C"/>
    <w:rsid w:val="006D7E5E"/>
    <w:rsid w:val="007625EA"/>
    <w:rsid w:val="00781BE1"/>
    <w:rsid w:val="00786C7C"/>
    <w:rsid w:val="007B4788"/>
    <w:rsid w:val="007D33E7"/>
    <w:rsid w:val="007D346D"/>
    <w:rsid w:val="007E604F"/>
    <w:rsid w:val="007F4848"/>
    <w:rsid w:val="00847AE0"/>
    <w:rsid w:val="00893E38"/>
    <w:rsid w:val="008B76B2"/>
    <w:rsid w:val="008F279A"/>
    <w:rsid w:val="00916436"/>
    <w:rsid w:val="00944D45"/>
    <w:rsid w:val="00952E40"/>
    <w:rsid w:val="00964E71"/>
    <w:rsid w:val="00980344"/>
    <w:rsid w:val="009933FC"/>
    <w:rsid w:val="00A11CB9"/>
    <w:rsid w:val="00A4715A"/>
    <w:rsid w:val="00AB19DA"/>
    <w:rsid w:val="00AC46CD"/>
    <w:rsid w:val="00AD650E"/>
    <w:rsid w:val="00B05591"/>
    <w:rsid w:val="00B25ACC"/>
    <w:rsid w:val="00B334C8"/>
    <w:rsid w:val="00B37A95"/>
    <w:rsid w:val="00B757F6"/>
    <w:rsid w:val="00B76B31"/>
    <w:rsid w:val="00B84CB8"/>
    <w:rsid w:val="00B854C2"/>
    <w:rsid w:val="00B95713"/>
    <w:rsid w:val="00BB656B"/>
    <w:rsid w:val="00BC690F"/>
    <w:rsid w:val="00BD68AE"/>
    <w:rsid w:val="00C159D3"/>
    <w:rsid w:val="00C2339C"/>
    <w:rsid w:val="00C44241"/>
    <w:rsid w:val="00C70582"/>
    <w:rsid w:val="00C91329"/>
    <w:rsid w:val="00CC3048"/>
    <w:rsid w:val="00CD6D0E"/>
    <w:rsid w:val="00CD6DCD"/>
    <w:rsid w:val="00DB122E"/>
    <w:rsid w:val="00E13682"/>
    <w:rsid w:val="00E15399"/>
    <w:rsid w:val="00E50848"/>
    <w:rsid w:val="00E7345E"/>
    <w:rsid w:val="00EA3B27"/>
    <w:rsid w:val="00F1278B"/>
    <w:rsid w:val="00F14821"/>
    <w:rsid w:val="00F3191B"/>
    <w:rsid w:val="00F764CA"/>
    <w:rsid w:val="00F80A3A"/>
    <w:rsid w:val="00FB7F61"/>
    <w:rsid w:val="00FE3C46"/>
    <w:rsid w:val="01CD0720"/>
    <w:rsid w:val="06852D5E"/>
    <w:rsid w:val="0BB34483"/>
    <w:rsid w:val="209C0F27"/>
    <w:rsid w:val="22734CE2"/>
    <w:rsid w:val="22920765"/>
    <w:rsid w:val="22F115B1"/>
    <w:rsid w:val="25E21B0C"/>
    <w:rsid w:val="267B51A6"/>
    <w:rsid w:val="2706208F"/>
    <w:rsid w:val="27556111"/>
    <w:rsid w:val="34CB0FB8"/>
    <w:rsid w:val="39C00AF0"/>
    <w:rsid w:val="43A538C3"/>
    <w:rsid w:val="47F04FE3"/>
    <w:rsid w:val="49EC47D8"/>
    <w:rsid w:val="4C231829"/>
    <w:rsid w:val="55A25775"/>
    <w:rsid w:val="68FC5898"/>
    <w:rsid w:val="7C8B6D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9"/>
      <w:szCs w:val="19"/>
      <w:lang w:val="en-US" w:eastAsia="en-US" w:bidi="ar-SA"/>
    </w:rPr>
  </w:style>
  <w:style w:type="paragraph" w:styleId="3">
    <w:name w:val="Balloon Text"/>
    <w:basedOn w:val="1"/>
    <w:link w:val="12"/>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semiHidden/>
    <w:unhideWhenUsed/>
    <w:qFormat/>
    <w:uiPriority w:val="99"/>
    <w:rPr>
      <w:color w:val="0000FF"/>
      <w:u w:val="none"/>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批注框文本 字符"/>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2357</Words>
  <Characters>2586</Characters>
  <Lines>2</Lines>
  <Paragraphs>1</Paragraphs>
  <TotalTime>20</TotalTime>
  <ScaleCrop>false</ScaleCrop>
  <LinksUpToDate>false</LinksUpToDate>
  <CharactersWithSpaces>2597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2024-09-02T03:13:00Z</dcterms:created>
  <dc:creator>孙 丽</dc:creator>
  <cp:lastModifiedBy>lijj</cp:lastModifiedBy>
  <dcterms:modified xsi:type="dcterms:W3CDTF">2026-07-22T03:04:20Z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eyJoZGlkIjoiYWIwYzljMjUwMWQ4NThlMTE1ZGMzNzQwYjI2MGNlNmQiLCJ1c2VySWQiOiIzNDYyNzAzMjcifQ==</vt:lpwstr>
  </property>
  <property fmtid="{D5CDD505-2E9C-101B-9397-08002B2CF9AE}" pid="3" name="KSOProductBuildVer">
    <vt:lpwstr>2052-12.1.0.26895</vt:lpwstr>
  </property>
  <property fmtid="{D5CDD505-2E9C-101B-9397-08002B2CF9AE}" pid="4" name="ICV">
    <vt:lpwstr>E9D9751366624DC0A0AA4085DC460BA4_13</vt:lpwstr>
  </property>
</Properties>
</file>