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1292B">
      <w:pPr>
        <w:pStyle w:val="3"/>
        <w:spacing w:before="49" w:line="240" w:lineRule="auto"/>
        <w:outlineLvl w:val="1"/>
        <w:rPr>
          <w:sz w:val="24"/>
          <w:szCs w:val="24"/>
        </w:rPr>
      </w:pPr>
      <w:r>
        <w:rPr>
          <w:spacing w:val="17"/>
          <w:position w:val="-1"/>
          <w:sz w:val="24"/>
          <w:szCs w:val="24"/>
        </w:rPr>
        <w:t>权利要求书</w:t>
      </w:r>
    </w:p>
    <w:p w14:paraId="042AB381">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84" w:firstLineChars="200"/>
        <w:textAlignment w:val="baseline"/>
        <w:rPr>
          <w:rFonts w:hint="eastAsia" w:ascii="微软雅黑" w:hAnsi="微软雅黑" w:eastAsia="微软雅黑" w:cs="微软雅黑"/>
          <w:spacing w:val="16"/>
          <w:sz w:val="21"/>
          <w:szCs w:val="21"/>
        </w:rPr>
      </w:pPr>
      <w:commentRangeStart w:id="0"/>
      <w:r>
        <w:rPr>
          <w:rFonts w:hint="eastAsia" w:ascii="微软雅黑" w:hAnsi="微软雅黑" w:eastAsia="微软雅黑" w:cs="微软雅黑"/>
          <w:spacing w:val="16"/>
          <w:sz w:val="21"/>
          <w:szCs w:val="21"/>
        </w:rPr>
        <w:t>1.一种基于</w:t>
      </w:r>
      <w:r>
        <w:rPr>
          <w:rFonts w:hint="eastAsia" w:ascii="微软雅黑" w:hAnsi="微软雅黑" w:eastAsia="微软雅黑" w:cs="微软雅黑"/>
          <w:sz w:val="21"/>
          <w:szCs w:val="21"/>
        </w:rPr>
        <w:t>IFC</w:t>
      </w:r>
      <w:r>
        <w:rPr>
          <w:rFonts w:hint="eastAsia" w:ascii="微软雅黑" w:hAnsi="微软雅黑" w:eastAsia="微软雅黑" w:cs="微软雅黑"/>
          <w:spacing w:val="16"/>
          <w:sz w:val="21"/>
          <w:szCs w:val="21"/>
        </w:rPr>
        <w:t>表面分块和多源证据融合的建筑点云缺口检测及补充扫描视点规划方法</w:t>
      </w:r>
      <w:commentRangeEnd w:id="0"/>
      <w:r>
        <w:commentReference w:id="0"/>
      </w:r>
      <w:r>
        <w:rPr>
          <w:rFonts w:hint="eastAsia" w:ascii="微软雅黑" w:hAnsi="微软雅黑" w:eastAsia="微软雅黑" w:cs="微软雅黑"/>
          <w:spacing w:val="16"/>
          <w:sz w:val="21"/>
          <w:szCs w:val="21"/>
        </w:rPr>
        <w:t>,其特征在于,包</w:t>
      </w:r>
      <w:r>
        <w:rPr>
          <w:rFonts w:hint="eastAsia" w:cs="微软雅黑"/>
          <w:spacing w:val="16"/>
          <w:sz w:val="21"/>
          <w:szCs w:val="21"/>
          <w:lang w:val="en-US" w:eastAsia="zh-CN"/>
        </w:rPr>
        <w:t>括</w:t>
      </w:r>
      <w:r>
        <w:rPr>
          <w:rFonts w:hint="eastAsia" w:ascii="微软雅黑" w:hAnsi="微软雅黑" w:eastAsia="微软雅黑" w:cs="微软雅黑"/>
          <w:spacing w:val="16"/>
          <w:sz w:val="21"/>
          <w:szCs w:val="21"/>
        </w:rPr>
        <w:t>:</w:t>
      </w:r>
    </w:p>
    <w:p w14:paraId="72F00329">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84" w:firstLineChars="200"/>
        <w:textAlignment w:val="baseline"/>
        <w:rPr>
          <w:rFonts w:hint="eastAsia" w:ascii="微软雅黑" w:hAnsi="微软雅黑" w:eastAsia="微软雅黑" w:cs="微软雅黑"/>
          <w:spacing w:val="7"/>
          <w:sz w:val="21"/>
          <w:szCs w:val="21"/>
        </w:rPr>
      </w:pPr>
      <w:r>
        <w:rPr>
          <w:rFonts w:hint="eastAsia" w:ascii="微软雅黑" w:hAnsi="微软雅黑" w:eastAsia="微软雅黑" w:cs="微软雅黑"/>
          <w:spacing w:val="16"/>
          <w:sz w:val="21"/>
          <w:szCs w:val="21"/>
        </w:rPr>
        <w:t>获取</w:t>
      </w:r>
      <w:r>
        <w:rPr>
          <w:rFonts w:hint="eastAsia" w:ascii="微软雅黑" w:hAnsi="微软雅黑" w:eastAsia="微软雅黑" w:cs="微软雅黑"/>
          <w:spacing w:val="7"/>
          <w:sz w:val="21"/>
          <w:szCs w:val="21"/>
        </w:rPr>
        <w:t>建筑的</w:t>
      </w:r>
      <w:r>
        <w:rPr>
          <w:rFonts w:hint="eastAsia" w:ascii="微软雅黑" w:hAnsi="微软雅黑" w:eastAsia="微软雅黑" w:cs="微软雅黑"/>
          <w:sz w:val="21"/>
          <w:szCs w:val="21"/>
        </w:rPr>
        <w:t>IFC</w:t>
      </w:r>
      <w:r>
        <w:rPr>
          <w:rFonts w:hint="eastAsia" w:ascii="微软雅黑" w:hAnsi="微软雅黑" w:eastAsia="微软雅黑" w:cs="微软雅黑"/>
          <w:spacing w:val="7"/>
          <w:sz w:val="21"/>
          <w:szCs w:val="21"/>
        </w:rPr>
        <w:t>模型和对应三维点云;</w:t>
      </w:r>
      <w:bookmarkStart w:id="0" w:name="_GoBack"/>
      <w:bookmarkEnd w:id="0"/>
    </w:p>
    <w:p w14:paraId="64BC2345">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48" w:firstLineChars="200"/>
        <w:textAlignment w:val="baseline"/>
        <w:rPr>
          <w:rFonts w:hint="eastAsia" w:ascii="微软雅黑" w:hAnsi="微软雅黑" w:eastAsia="微软雅黑" w:cs="微软雅黑"/>
          <w:spacing w:val="8"/>
          <w:sz w:val="21"/>
          <w:szCs w:val="21"/>
        </w:rPr>
      </w:pPr>
      <w:commentRangeStart w:id="1"/>
      <w:r>
        <w:rPr>
          <w:rFonts w:hint="eastAsia" w:ascii="微软雅黑" w:hAnsi="微软雅黑" w:eastAsia="微软雅黑" w:cs="微软雅黑"/>
          <w:spacing w:val="7"/>
          <w:sz w:val="21"/>
          <w:szCs w:val="21"/>
        </w:rPr>
        <w:t>对所述</w:t>
      </w:r>
      <w:r>
        <w:rPr>
          <w:rFonts w:hint="eastAsia" w:ascii="微软雅黑" w:hAnsi="微软雅黑" w:eastAsia="微软雅黑" w:cs="微软雅黑"/>
          <w:sz w:val="21"/>
          <w:szCs w:val="21"/>
        </w:rPr>
        <w:t>IFC</w:t>
      </w:r>
      <w:r>
        <w:rPr>
          <w:rFonts w:hint="eastAsia" w:ascii="微软雅黑" w:hAnsi="微软雅黑" w:eastAsia="微软雅黑" w:cs="微软雅黑"/>
          <w:spacing w:val="7"/>
          <w:sz w:val="21"/>
          <w:szCs w:val="21"/>
        </w:rPr>
        <w:t>模型的构件表面进行三角化,并在同一构件内部依据共享边邻接关系和</w:t>
      </w:r>
      <w:r>
        <w:rPr>
          <w:rFonts w:hint="eastAsia" w:ascii="微软雅黑" w:hAnsi="微软雅黑" w:eastAsia="微软雅黑" w:cs="微软雅黑"/>
          <w:spacing w:val="8"/>
          <w:sz w:val="21"/>
          <w:szCs w:val="21"/>
        </w:rPr>
        <w:t>法向约束形成多个表面分块</w:t>
      </w:r>
      <w:commentRangeEnd w:id="1"/>
      <w:r>
        <w:rPr>
          <w:rFonts w:hint="eastAsia" w:ascii="微软雅黑" w:hAnsi="微软雅黑" w:eastAsia="微软雅黑" w:cs="微软雅黑"/>
          <w:sz w:val="21"/>
          <w:szCs w:val="21"/>
        </w:rPr>
        <w:commentReference w:id="1"/>
      </w:r>
      <w:r>
        <w:rPr>
          <w:rFonts w:hint="eastAsia" w:ascii="微软雅黑" w:hAnsi="微软雅黑" w:eastAsia="微软雅黑" w:cs="微软雅黑"/>
          <w:spacing w:val="8"/>
          <w:sz w:val="21"/>
          <w:szCs w:val="21"/>
        </w:rPr>
        <w:t>;</w:t>
      </w:r>
    </w:p>
    <w:p w14:paraId="2B3AE630">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52" w:firstLineChars="200"/>
        <w:textAlignment w:val="baseline"/>
        <w:rPr>
          <w:rFonts w:hint="eastAsia" w:ascii="微软雅黑" w:hAnsi="微软雅黑" w:eastAsia="微软雅黑" w:cs="微软雅黑"/>
          <w:spacing w:val="5"/>
          <w:sz w:val="21"/>
          <w:szCs w:val="21"/>
        </w:rPr>
      </w:pPr>
      <w:r>
        <w:rPr>
          <w:rFonts w:hint="eastAsia" w:ascii="微软雅黑" w:hAnsi="微软雅黑" w:eastAsia="微软雅黑" w:cs="微软雅黑"/>
          <w:spacing w:val="8"/>
          <w:sz w:val="21"/>
          <w:szCs w:val="21"/>
        </w:rPr>
        <w:t>对所述三维点云与所述</w:t>
      </w:r>
      <w:r>
        <w:rPr>
          <w:rFonts w:hint="eastAsia" w:ascii="微软雅黑" w:hAnsi="微软雅黑" w:eastAsia="微软雅黑" w:cs="微软雅黑"/>
          <w:sz w:val="21"/>
          <w:szCs w:val="21"/>
        </w:rPr>
        <w:t>IFC</w:t>
      </w:r>
      <w:r>
        <w:rPr>
          <w:rFonts w:hint="eastAsia" w:ascii="微软雅黑" w:hAnsi="微软雅黑" w:eastAsia="微软雅黑" w:cs="微软雅黑"/>
          <w:spacing w:val="8"/>
          <w:sz w:val="21"/>
          <w:szCs w:val="21"/>
        </w:rPr>
        <w:t>模型进行坐标对齐,并将点云观</w:t>
      </w:r>
      <w:r>
        <w:rPr>
          <w:rFonts w:hint="eastAsia" w:ascii="微软雅黑" w:hAnsi="微软雅黑" w:eastAsia="微软雅黑" w:cs="微软雅黑"/>
          <w:spacing w:val="7"/>
          <w:sz w:val="21"/>
          <w:szCs w:val="21"/>
        </w:rPr>
        <w:t>测与</w:t>
      </w:r>
      <w:r>
        <w:rPr>
          <w:rFonts w:hint="eastAsia" w:ascii="微软雅黑" w:hAnsi="微软雅黑" w:eastAsia="微软雅黑" w:cs="微软雅黑"/>
          <w:sz w:val="21"/>
          <w:szCs w:val="21"/>
        </w:rPr>
        <w:t>IFC</w:t>
      </w:r>
      <w:r>
        <w:rPr>
          <w:rFonts w:hint="eastAsia" w:ascii="微软雅黑" w:hAnsi="微软雅黑" w:eastAsia="微软雅黑" w:cs="微软雅黑"/>
          <w:spacing w:val="7"/>
          <w:sz w:val="21"/>
          <w:szCs w:val="21"/>
        </w:rPr>
        <w:t>三角表面建立距离</w:t>
      </w:r>
      <w:r>
        <w:rPr>
          <w:rFonts w:hint="eastAsia" w:ascii="微软雅黑" w:hAnsi="微软雅黑" w:eastAsia="微软雅黑" w:cs="微软雅黑"/>
          <w:spacing w:val="5"/>
          <w:sz w:val="21"/>
          <w:szCs w:val="21"/>
        </w:rPr>
        <w:t>关联,再根据三角表面所属关系汇总到表面分块;</w:t>
      </w:r>
    </w:p>
    <w:p w14:paraId="2704E4AF">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40" w:firstLineChars="200"/>
        <w:textAlignment w:val="baseline"/>
        <w:rPr>
          <w:rFonts w:hint="eastAsia" w:ascii="微软雅黑" w:hAnsi="微软雅黑" w:eastAsia="微软雅黑" w:cs="微软雅黑"/>
          <w:spacing w:val="9"/>
          <w:sz w:val="21"/>
          <w:szCs w:val="21"/>
        </w:rPr>
      </w:pPr>
      <w:r>
        <w:rPr>
          <w:rFonts w:hint="eastAsia" w:ascii="微软雅黑" w:hAnsi="微软雅黑" w:eastAsia="微软雅黑" w:cs="微软雅黑"/>
          <w:spacing w:val="5"/>
          <w:sz w:val="21"/>
          <w:szCs w:val="21"/>
        </w:rPr>
        <w:t>针对表面分块构造至少两类不同来源的</w:t>
      </w:r>
      <w:commentRangeStart w:id="2"/>
      <w:r>
        <w:rPr>
          <w:rFonts w:hint="eastAsia" w:ascii="微软雅黑" w:hAnsi="微软雅黑" w:eastAsia="微软雅黑" w:cs="微软雅黑"/>
          <w:spacing w:val="5"/>
          <w:sz w:val="21"/>
          <w:szCs w:val="21"/>
        </w:rPr>
        <w:t>观测</w:t>
      </w:r>
      <w:commentRangeEnd w:id="2"/>
      <w:r>
        <w:commentReference w:id="2"/>
      </w:r>
      <w:r>
        <w:rPr>
          <w:rFonts w:hint="eastAsia" w:ascii="微软雅黑" w:hAnsi="微软雅黑" w:eastAsia="微软雅黑" w:cs="微软雅黑"/>
          <w:spacing w:val="5"/>
          <w:sz w:val="21"/>
          <w:szCs w:val="21"/>
        </w:rPr>
        <w:t>、</w:t>
      </w:r>
      <w:r>
        <w:rPr>
          <w:rFonts w:hint="eastAsia" w:ascii="微软雅黑" w:hAnsi="微软雅黑" w:eastAsia="微软雅黑" w:cs="微软雅黑"/>
          <w:spacing w:val="4"/>
          <w:sz w:val="21"/>
          <w:szCs w:val="21"/>
        </w:rPr>
        <w:t>几何覆盖、角度、语</w:t>
      </w:r>
      <w:r>
        <w:rPr>
          <w:rFonts w:hint="eastAsia" w:ascii="微软雅黑" w:hAnsi="微软雅黑" w:eastAsia="微软雅黑" w:cs="微软雅黑"/>
          <w:spacing w:val="9"/>
          <w:sz w:val="21"/>
          <w:szCs w:val="21"/>
        </w:rPr>
        <w:t>义或材料证据;</w:t>
      </w:r>
    </w:p>
    <w:p w14:paraId="74261578">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56" w:firstLineChars="200"/>
        <w:textAlignment w:val="baseline"/>
        <w:rPr>
          <w:rFonts w:hint="eastAsia" w:ascii="微软雅黑" w:hAnsi="微软雅黑" w:eastAsia="微软雅黑" w:cs="微软雅黑"/>
          <w:spacing w:val="9"/>
          <w:sz w:val="21"/>
          <w:szCs w:val="21"/>
        </w:rPr>
      </w:pPr>
      <w:r>
        <w:rPr>
          <w:rFonts w:hint="eastAsia" w:ascii="微软雅黑" w:hAnsi="微软雅黑" w:eastAsia="微软雅黑" w:cs="微软雅黑"/>
          <w:spacing w:val="9"/>
          <w:sz w:val="21"/>
          <w:szCs w:val="21"/>
        </w:rPr>
        <w:t>将所述证据转化为方向一致的缺口指</w:t>
      </w:r>
      <w:r>
        <w:rPr>
          <w:rFonts w:hint="eastAsia" w:cs="微软雅黑"/>
          <w:spacing w:val="22"/>
          <w:sz w:val="21"/>
          <w:szCs w:val="21"/>
          <w:lang w:val="en-US" w:eastAsia="zh-CN"/>
        </w:rPr>
        <w:t>标</w:t>
      </w:r>
      <w:r>
        <w:rPr>
          <w:rFonts w:hint="eastAsia" w:ascii="微软雅黑" w:hAnsi="微软雅黑" w:eastAsia="微软雅黑" w:cs="微软雅黑"/>
          <w:spacing w:val="9"/>
          <w:sz w:val="21"/>
          <w:szCs w:val="21"/>
        </w:rPr>
        <w:t>;</w:t>
      </w:r>
    </w:p>
    <w:p w14:paraId="186794C8">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56" w:firstLineChars="200"/>
        <w:textAlignment w:val="baseline"/>
        <w:rPr>
          <w:rFonts w:hint="eastAsia" w:ascii="微软雅黑" w:hAnsi="微软雅黑" w:eastAsia="微软雅黑" w:cs="微软雅黑"/>
          <w:spacing w:val="9"/>
          <w:sz w:val="21"/>
          <w:szCs w:val="21"/>
        </w:rPr>
      </w:pPr>
      <w:r>
        <w:rPr>
          <w:rFonts w:hint="eastAsia" w:ascii="微软雅黑" w:hAnsi="微软雅黑" w:eastAsia="微软雅黑" w:cs="微软雅黑"/>
          <w:spacing w:val="9"/>
          <w:sz w:val="21"/>
          <w:szCs w:val="21"/>
        </w:rPr>
        <w:t>在每个表面</w:t>
      </w:r>
      <w:r>
        <w:rPr>
          <w:rFonts w:hint="eastAsia" w:ascii="微软雅黑" w:hAnsi="微软雅黑" w:eastAsia="微软雅黑" w:cs="微软雅黑"/>
          <w:spacing w:val="8"/>
          <w:sz w:val="21"/>
          <w:szCs w:val="21"/>
        </w:rPr>
        <w:t>分块实际可用的缺口指标集合上重归一化对应权</w:t>
      </w:r>
      <w:r>
        <w:rPr>
          <w:rFonts w:hint="eastAsia" w:ascii="微软雅黑" w:hAnsi="微软雅黑" w:eastAsia="微软雅黑" w:cs="微软雅黑"/>
          <w:spacing w:val="9"/>
          <w:sz w:val="21"/>
          <w:szCs w:val="21"/>
        </w:rPr>
        <w:t>重,得到表面分块缺口分数;</w:t>
      </w:r>
    </w:p>
    <w:p w14:paraId="5105B8E7">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56" w:firstLineChars="200"/>
        <w:textAlignment w:val="baseline"/>
        <w:rPr>
          <w:rFonts w:hint="eastAsia" w:ascii="微软雅黑" w:hAnsi="微软雅黑" w:eastAsia="微软雅黑" w:cs="微软雅黑"/>
          <w:spacing w:val="9"/>
          <w:sz w:val="21"/>
          <w:szCs w:val="21"/>
        </w:rPr>
      </w:pPr>
      <w:r>
        <w:rPr>
          <w:rFonts w:hint="eastAsia" w:ascii="微软雅黑" w:hAnsi="微软雅黑" w:eastAsia="微软雅黑" w:cs="微软雅黑"/>
          <w:spacing w:val="9"/>
          <w:sz w:val="21"/>
          <w:szCs w:val="21"/>
        </w:rPr>
        <w:t>根据缺口分数确定目标表面分块;</w:t>
      </w:r>
    </w:p>
    <w:p w14:paraId="4F92C737">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56" w:firstLineChars="200"/>
        <w:textAlignment w:val="baseline"/>
        <w:rPr>
          <w:rFonts w:hint="eastAsia" w:ascii="微软雅黑" w:hAnsi="微软雅黑" w:eastAsia="微软雅黑" w:cs="微软雅黑"/>
          <w:spacing w:val="10"/>
          <w:sz w:val="21"/>
          <w:szCs w:val="21"/>
        </w:rPr>
      </w:pPr>
      <w:r>
        <w:rPr>
          <w:rFonts w:hint="eastAsia" w:ascii="微软雅黑" w:hAnsi="微软雅黑" w:eastAsia="微软雅黑" w:cs="微软雅黑"/>
          <w:spacing w:val="9"/>
          <w:sz w:val="21"/>
          <w:szCs w:val="21"/>
        </w:rPr>
        <w:t>基于目标表面分块中心和法向生成多个候选补充</w:t>
      </w:r>
      <w:r>
        <w:rPr>
          <w:rFonts w:hint="eastAsia" w:ascii="微软雅黑" w:hAnsi="微软雅黑" w:eastAsia="微软雅黑" w:cs="微软雅黑"/>
          <w:spacing w:val="8"/>
          <w:sz w:val="21"/>
          <w:szCs w:val="21"/>
        </w:rPr>
        <w:t>扫描</w:t>
      </w:r>
      <w:r>
        <w:rPr>
          <w:rFonts w:hint="eastAsia" w:ascii="微软雅黑" w:hAnsi="微软雅黑" w:eastAsia="微软雅黑" w:cs="微软雅黑"/>
          <w:spacing w:val="10"/>
          <w:sz w:val="21"/>
          <w:szCs w:val="21"/>
        </w:rPr>
        <w:t>位姿;</w:t>
      </w:r>
    </w:p>
    <w:p w14:paraId="0C560366">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60" w:firstLineChars="200"/>
        <w:textAlignment w:val="baseline"/>
        <w:rPr>
          <w:rFonts w:hint="eastAsia" w:ascii="微软雅黑" w:hAnsi="微软雅黑" w:eastAsia="微软雅黑" w:cs="微软雅黑"/>
          <w:spacing w:val="9"/>
          <w:sz w:val="21"/>
          <w:szCs w:val="21"/>
        </w:rPr>
      </w:pPr>
      <w:r>
        <w:rPr>
          <w:rFonts w:hint="eastAsia" w:ascii="微软雅黑" w:hAnsi="微软雅黑" w:eastAsia="微软雅黑" w:cs="微软雅黑"/>
          <w:spacing w:val="10"/>
          <w:sz w:val="21"/>
          <w:szCs w:val="21"/>
        </w:rPr>
        <w:t>根据候选位姿对表面分块的正视性、视场条件、距离质量、距离相关的分辨率质量、表面分块面积和缺口分数</w:t>
      </w:r>
      <w:r>
        <w:rPr>
          <w:rFonts w:hint="eastAsia" w:ascii="微软雅黑" w:hAnsi="微软雅黑" w:eastAsia="微软雅黑" w:cs="微软雅黑"/>
          <w:spacing w:val="9"/>
          <w:sz w:val="21"/>
          <w:szCs w:val="21"/>
        </w:rPr>
        <w:t>计算候选位姿价值;</w:t>
      </w:r>
    </w:p>
    <w:p w14:paraId="5C2F32A6">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56" w:firstLineChars="200"/>
        <w:textAlignment w:val="baseline"/>
        <w:rPr>
          <w:rFonts w:hint="eastAsia" w:ascii="微软雅黑" w:hAnsi="微软雅黑" w:eastAsia="微软雅黑" w:cs="微软雅黑"/>
          <w:spacing w:val="9"/>
          <w:sz w:val="21"/>
          <w:szCs w:val="21"/>
        </w:rPr>
      </w:pPr>
      <w:r>
        <w:rPr>
          <w:rFonts w:hint="eastAsia" w:ascii="微软雅黑" w:hAnsi="微软雅黑" w:eastAsia="微软雅黑" w:cs="微软雅黑"/>
          <w:spacing w:val="9"/>
          <w:sz w:val="21"/>
          <w:szCs w:val="21"/>
        </w:rPr>
        <w:t>选取价值满足最优条件的候选位姿作为下</w:t>
      </w:r>
      <w:r>
        <w:rPr>
          <w:rFonts w:hint="eastAsia" w:cs="微软雅黑"/>
          <w:spacing w:val="-43"/>
          <w:sz w:val="21"/>
          <w:szCs w:val="21"/>
          <w:lang w:val="en-US" w:eastAsia="zh-CN"/>
        </w:rPr>
        <w:t>一</w:t>
      </w:r>
      <w:r>
        <w:rPr>
          <w:rFonts w:hint="eastAsia" w:ascii="微软雅黑" w:hAnsi="微软雅黑" w:eastAsia="微软雅黑" w:cs="微软雅黑"/>
          <w:spacing w:val="9"/>
          <w:sz w:val="21"/>
          <w:szCs w:val="21"/>
        </w:rPr>
        <w:t>补充扫描位姿;</w:t>
      </w:r>
    </w:p>
    <w:p w14:paraId="7F2E0573">
      <w:pPr>
        <w:pStyle w:val="3"/>
        <w:keepNext w:val="0"/>
        <w:keepLines w:val="0"/>
        <w:pageBreakBefore w:val="0"/>
        <w:widowControl/>
        <w:kinsoku w:val="0"/>
        <w:wordWrap/>
        <w:overflowPunct/>
        <w:topLinePunct w:val="0"/>
        <w:autoSpaceDE w:val="0"/>
        <w:autoSpaceDN w:val="0"/>
        <w:bidi w:val="0"/>
        <w:adjustRightInd w:val="0"/>
        <w:snapToGrid w:val="0"/>
        <w:spacing w:before="135" w:line="240" w:lineRule="auto"/>
        <w:ind w:left="14" w:firstLine="456"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pacing w:val="9"/>
          <w:sz w:val="21"/>
          <w:szCs w:val="21"/>
        </w:rPr>
        <w:t>并根据新增观测更新表面分块证据后</w:t>
      </w:r>
      <w:r>
        <w:rPr>
          <w:rFonts w:hint="eastAsia" w:ascii="微软雅黑" w:hAnsi="微软雅黑" w:eastAsia="微软雅黑" w:cs="微软雅黑"/>
          <w:spacing w:val="16"/>
          <w:sz w:val="21"/>
          <w:szCs w:val="21"/>
        </w:rPr>
        <w:t>重新计算下</w:t>
      </w:r>
      <w:r>
        <w:rPr>
          <w:rFonts w:hint="eastAsia" w:cs="微软雅黑"/>
          <w:spacing w:val="-38"/>
          <w:sz w:val="21"/>
          <w:szCs w:val="21"/>
          <w:lang w:val="en-US" w:eastAsia="zh-CN"/>
        </w:rPr>
        <w:t>一</w:t>
      </w:r>
      <w:r>
        <w:rPr>
          <w:rFonts w:hint="eastAsia" w:ascii="微软雅黑" w:hAnsi="微软雅黑" w:eastAsia="微软雅黑" w:cs="微软雅黑"/>
          <w:spacing w:val="16"/>
          <w:sz w:val="21"/>
          <w:szCs w:val="21"/>
        </w:rPr>
        <w:t>补充扫描位姿。</w:t>
      </w:r>
    </w:p>
    <w:p w14:paraId="68EBA1FD">
      <w:pPr>
        <w:keepNext w:val="0"/>
        <w:keepLines w:val="0"/>
        <w:pageBreakBefore w:val="0"/>
        <w:widowControl/>
        <w:kinsoku w:val="0"/>
        <w:wordWrap/>
        <w:overflowPunct/>
        <w:topLinePunct w:val="0"/>
        <w:autoSpaceDE w:val="0"/>
        <w:autoSpaceDN w:val="0"/>
        <w:bidi w:val="0"/>
        <w:adjustRightInd w:val="0"/>
        <w:snapToGrid w:val="0"/>
        <w:spacing w:before="107" w:line="240" w:lineRule="auto"/>
        <w:ind w:left="4" w:firstLine="456" w:firstLineChars="200"/>
        <w:textAlignment w:val="baseline"/>
        <w:rPr>
          <w:rFonts w:hint="eastAsia" w:ascii="微软雅黑" w:hAnsi="微软雅黑" w:eastAsia="微软雅黑" w:cs="微软雅黑"/>
          <w:sz w:val="21"/>
          <w:szCs w:val="21"/>
          <w:lang w:eastAsia="zh-CN"/>
        </w:rPr>
      </w:pPr>
      <w:r>
        <w:rPr>
          <w:rFonts w:hint="eastAsia" w:ascii="微软雅黑" w:hAnsi="微软雅黑" w:eastAsia="微软雅黑" w:cs="微软雅黑"/>
          <w:spacing w:val="9"/>
          <w:sz w:val="21"/>
          <w:szCs w:val="21"/>
        </w:rPr>
        <w:t>2.根据权利要求1所述的方法,其特征在于,</w:t>
      </w:r>
      <w:r>
        <w:rPr>
          <w:rFonts w:hint="eastAsia" w:ascii="微软雅黑" w:hAnsi="微软雅黑" w:eastAsia="微软雅黑" w:cs="微软雅黑"/>
          <w:spacing w:val="8"/>
          <w:sz w:val="21"/>
          <w:szCs w:val="21"/>
        </w:rPr>
        <w:t>所述共享边邻接关系为两个三角面在同一构件内部具有相同的无向边</w:t>
      </w:r>
      <w:r>
        <w:rPr>
          <w:rFonts w:hint="eastAsia" w:ascii="微软雅黑" w:hAnsi="微软雅黑" w:eastAsia="微软雅黑" w:cs="微软雅黑"/>
          <w:sz w:val="21"/>
          <w:szCs w:val="21"/>
          <w:lang w:eastAsia="zh-CN"/>
        </w:rPr>
        <w:t>。</w:t>
      </w:r>
    </w:p>
    <w:p w14:paraId="001A14D5">
      <w:pPr>
        <w:pStyle w:val="3"/>
        <w:keepNext w:val="0"/>
        <w:keepLines w:val="0"/>
        <w:pageBreakBefore w:val="0"/>
        <w:widowControl/>
        <w:kinsoku w:val="0"/>
        <w:wordWrap/>
        <w:overflowPunct/>
        <w:topLinePunct w:val="0"/>
        <w:autoSpaceDE w:val="0"/>
        <w:autoSpaceDN w:val="0"/>
        <w:bidi w:val="0"/>
        <w:adjustRightInd w:val="0"/>
        <w:snapToGrid w:val="0"/>
        <w:spacing w:before="185" w:line="240" w:lineRule="auto"/>
        <w:ind w:left="1" w:firstLine="488"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pacing w:val="17"/>
          <w:sz w:val="21"/>
          <w:szCs w:val="21"/>
        </w:rPr>
        <w:t>3.根据权利要求1所述的方法,其特征在于,形成表面分块时,</w:t>
      </w:r>
      <w:commentRangeStart w:id="3"/>
      <w:r>
        <w:rPr>
          <w:rFonts w:hint="eastAsia" w:ascii="微软雅黑" w:hAnsi="微软雅黑" w:eastAsia="微软雅黑" w:cs="微软雅黑"/>
          <w:spacing w:val="17"/>
          <w:sz w:val="21"/>
          <w:szCs w:val="21"/>
        </w:rPr>
        <w:t>将候选邻接三角面并入正在生</w:t>
      </w:r>
      <w:r>
        <w:rPr>
          <w:rFonts w:hint="eastAsia" w:ascii="微软雅黑" w:hAnsi="微软雅黑" w:eastAsia="微软雅黑" w:cs="微软雅黑"/>
          <w:spacing w:val="16"/>
          <w:sz w:val="21"/>
          <w:szCs w:val="21"/>
        </w:rPr>
        <w:t>长区域需同时满足候</w:t>
      </w:r>
      <w:r>
        <w:rPr>
          <w:rFonts w:hint="eastAsia" w:ascii="微软雅黑" w:hAnsi="微软雅黑" w:eastAsia="微软雅黑" w:cs="微软雅黑"/>
          <w:spacing w:val="10"/>
          <w:sz w:val="21"/>
          <w:szCs w:val="21"/>
        </w:rPr>
        <w:t>选邻接三角面法向与正在扩展的三角面法向的点积不小于预设阈值</w:t>
      </w:r>
      <w:r>
        <w:rPr>
          <w:rFonts w:hint="eastAsia" w:ascii="微软雅黑" w:hAnsi="微软雅黑" w:eastAsia="微软雅黑" w:cs="微软雅黑"/>
          <w:spacing w:val="-28"/>
          <w:sz w:val="21"/>
          <w:szCs w:val="21"/>
        </w:rPr>
        <w:t xml:space="preserve"> </w:t>
      </w:r>
      <w:r>
        <w:rPr>
          <w:rFonts w:hint="eastAsia" w:ascii="微软雅黑" w:hAnsi="微软雅黑" w:eastAsia="微软雅黑" w:cs="微软雅黑"/>
          <w:spacing w:val="10"/>
          <w:sz w:val="21"/>
          <w:szCs w:val="21"/>
        </w:rPr>
        <w:t>,  以及候选邻接三角面法向与区域种子三角面法向</w:t>
      </w:r>
      <w:r>
        <w:rPr>
          <w:rFonts w:hint="eastAsia" w:ascii="微软雅黑" w:hAnsi="微软雅黑" w:eastAsia="微软雅黑" w:cs="微软雅黑"/>
          <w:spacing w:val="16"/>
          <w:sz w:val="21"/>
          <w:szCs w:val="21"/>
        </w:rPr>
        <w:t>的点积不小于所述预设阈值。</w:t>
      </w:r>
      <w:commentRangeEnd w:id="3"/>
      <w:r>
        <w:rPr>
          <w:rFonts w:hint="eastAsia" w:ascii="微软雅黑" w:hAnsi="微软雅黑" w:eastAsia="微软雅黑" w:cs="微软雅黑"/>
          <w:sz w:val="21"/>
          <w:szCs w:val="21"/>
        </w:rPr>
        <w:commentReference w:id="3"/>
      </w:r>
    </w:p>
    <w:p w14:paraId="1B22C7CE">
      <w:pPr>
        <w:pStyle w:val="3"/>
        <w:keepNext w:val="0"/>
        <w:keepLines w:val="0"/>
        <w:pageBreakBefore w:val="0"/>
        <w:widowControl/>
        <w:kinsoku w:val="0"/>
        <w:wordWrap/>
        <w:overflowPunct/>
        <w:topLinePunct w:val="0"/>
        <w:autoSpaceDE w:val="0"/>
        <w:autoSpaceDN w:val="0"/>
        <w:bidi w:val="0"/>
        <w:adjustRightInd w:val="0"/>
        <w:snapToGrid w:val="0"/>
        <w:spacing w:before="171" w:line="240" w:lineRule="auto"/>
        <w:ind w:right="307" w:firstLine="420"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4</w:t>
      </w:r>
      <w:r>
        <w:rPr>
          <w:rFonts w:hint="eastAsia" w:ascii="微软雅黑" w:hAnsi="微软雅黑" w:eastAsia="微软雅黑" w:cs="微软雅黑"/>
          <w:position w:val="-6"/>
          <w:sz w:val="21"/>
          <w:szCs w:val="21"/>
        </w:rPr>
        <w:t>.</w:t>
      </w:r>
      <w:r>
        <w:rPr>
          <w:rFonts w:hint="eastAsia" w:ascii="微软雅黑" w:hAnsi="微软雅黑" w:eastAsia="微软雅黑" w:cs="微软雅黑"/>
          <w:sz w:val="21"/>
          <w:szCs w:val="21"/>
        </w:rPr>
        <w:t>根据权利要求1所述的方法,其特征在于,</w:t>
      </w:r>
      <w:r>
        <w:rPr>
          <w:rFonts w:hint="eastAsia" w:ascii="微软雅黑" w:hAnsi="微软雅黑" w:eastAsia="微软雅黑" w:cs="微软雅黑"/>
          <w:spacing w:val="-1"/>
          <w:sz w:val="21"/>
          <w:szCs w:val="21"/>
        </w:rPr>
        <w:t>表面分块的面积为其所含三角面面积之和,</w:t>
      </w:r>
      <w:commentRangeStart w:id="4"/>
      <w:r>
        <w:rPr>
          <w:rFonts w:hint="eastAsia" w:ascii="微软雅黑" w:hAnsi="微软雅黑" w:eastAsia="微软雅黑" w:cs="微软雅黑"/>
          <w:spacing w:val="-1"/>
          <w:sz w:val="21"/>
          <w:szCs w:val="21"/>
        </w:rPr>
        <w:t>表面分块中心为三角面中</w:t>
      </w:r>
      <w:r>
        <w:rPr>
          <w:rFonts w:hint="eastAsia" w:ascii="微软雅黑" w:hAnsi="微软雅黑" w:eastAsia="微软雅黑" w:cs="微软雅黑"/>
          <w:spacing w:val="18"/>
          <w:sz w:val="21"/>
          <w:szCs w:val="21"/>
        </w:rPr>
        <w:t>心的面积加权中心</w:t>
      </w:r>
      <w:commentRangeEnd w:id="4"/>
      <w:r>
        <w:rPr>
          <w:rFonts w:hint="eastAsia" w:ascii="微软雅黑" w:hAnsi="微软雅黑" w:eastAsia="微软雅黑" w:cs="微软雅黑"/>
          <w:sz w:val="21"/>
          <w:szCs w:val="21"/>
        </w:rPr>
        <w:commentReference w:id="4"/>
      </w:r>
      <w:r>
        <w:rPr>
          <w:rFonts w:hint="eastAsia" w:ascii="微软雅黑" w:hAnsi="微软雅黑" w:eastAsia="微软雅黑" w:cs="微软雅黑"/>
          <w:spacing w:val="18"/>
          <w:sz w:val="21"/>
          <w:szCs w:val="21"/>
        </w:rPr>
        <w:t>,表面分块法向为三角面单</w:t>
      </w:r>
      <w:r>
        <w:rPr>
          <w:rFonts w:hint="eastAsia" w:ascii="微软雅黑" w:hAnsi="微软雅黑" w:eastAsia="微软雅黑" w:cs="微软雅黑"/>
          <w:spacing w:val="17"/>
          <w:sz w:val="21"/>
          <w:szCs w:val="21"/>
        </w:rPr>
        <w:t>位法向的面积加权归一化结果。</w:t>
      </w:r>
    </w:p>
    <w:p w14:paraId="50F1DCFD">
      <w:pPr>
        <w:pStyle w:val="3"/>
        <w:keepNext w:val="0"/>
        <w:keepLines w:val="0"/>
        <w:pageBreakBefore w:val="0"/>
        <w:widowControl/>
        <w:kinsoku w:val="0"/>
        <w:wordWrap/>
        <w:overflowPunct/>
        <w:topLinePunct w:val="0"/>
        <w:autoSpaceDE w:val="0"/>
        <w:autoSpaceDN w:val="0"/>
        <w:bidi w:val="0"/>
        <w:adjustRightInd w:val="0"/>
        <w:snapToGrid w:val="0"/>
        <w:spacing w:before="106" w:line="240" w:lineRule="auto"/>
        <w:ind w:left="1" w:right="303" w:firstLine="416"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pacing w:val="-1"/>
          <w:sz w:val="21"/>
          <w:szCs w:val="21"/>
        </w:rPr>
        <w:t>5</w:t>
      </w:r>
      <w:r>
        <w:rPr>
          <w:rFonts w:hint="eastAsia" w:ascii="微软雅黑" w:hAnsi="微软雅黑" w:eastAsia="微软雅黑" w:cs="微软雅黑"/>
          <w:spacing w:val="-1"/>
          <w:position w:val="-6"/>
          <w:sz w:val="21"/>
          <w:szCs w:val="21"/>
        </w:rPr>
        <w:t>.</w:t>
      </w:r>
      <w:r>
        <w:rPr>
          <w:rFonts w:hint="eastAsia" w:ascii="微软雅黑" w:hAnsi="微软雅黑" w:eastAsia="微软雅黑" w:cs="微软雅黑"/>
          <w:spacing w:val="-1"/>
          <w:sz w:val="21"/>
          <w:szCs w:val="21"/>
        </w:rPr>
        <w:t>根据权利要求1所述的方法,其特征在于,所述坐标对齐包括对点云施加粗配准平移</w:t>
      </w:r>
      <w:r>
        <w:rPr>
          <w:rFonts w:hint="eastAsia" w:cs="微软雅黑"/>
          <w:spacing w:val="-1"/>
          <w:sz w:val="21"/>
          <w:szCs w:val="21"/>
          <w:lang w:val="en-US" w:eastAsia="zh-CN"/>
        </w:rPr>
        <w:t>,</w:t>
      </w:r>
      <w:r>
        <w:rPr>
          <w:rFonts w:hint="eastAsia" w:ascii="微软雅黑" w:hAnsi="微软雅黑" w:eastAsia="微软雅黑" w:cs="微软雅黑"/>
          <w:spacing w:val="-1"/>
          <w:sz w:val="21"/>
          <w:szCs w:val="21"/>
        </w:rPr>
        <w:t>或在粗配准基础上</w:t>
      </w:r>
      <w:r>
        <w:rPr>
          <w:rFonts w:hint="eastAsia" w:ascii="微软雅黑" w:hAnsi="微软雅黑" w:eastAsia="微软雅黑" w:cs="微软雅黑"/>
          <w:spacing w:val="-2"/>
          <w:sz w:val="21"/>
          <w:szCs w:val="21"/>
        </w:rPr>
        <w:t>执行刚</w:t>
      </w:r>
      <w:r>
        <w:rPr>
          <w:rFonts w:hint="eastAsia" w:ascii="微软雅黑" w:hAnsi="微软雅黑" w:eastAsia="微软雅黑" w:cs="微软雅黑"/>
          <w:spacing w:val="16"/>
          <w:sz w:val="21"/>
          <w:szCs w:val="21"/>
        </w:rPr>
        <w:t>性迭代最近点细配准。</w:t>
      </w:r>
    </w:p>
    <w:p w14:paraId="33A0531D">
      <w:pPr>
        <w:pStyle w:val="3"/>
        <w:keepNext w:val="0"/>
        <w:keepLines w:val="0"/>
        <w:pageBreakBefore w:val="0"/>
        <w:widowControl/>
        <w:kinsoku w:val="0"/>
        <w:wordWrap/>
        <w:overflowPunct/>
        <w:topLinePunct w:val="0"/>
        <w:autoSpaceDE w:val="0"/>
        <w:autoSpaceDN w:val="0"/>
        <w:bidi w:val="0"/>
        <w:adjustRightInd w:val="0"/>
        <w:snapToGrid w:val="0"/>
        <w:spacing w:before="108" w:line="240" w:lineRule="auto"/>
        <w:ind w:left="1" w:right="298" w:firstLine="412"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pacing w:val="-2"/>
          <w:sz w:val="21"/>
          <w:szCs w:val="21"/>
        </w:rPr>
        <w:t>6</w:t>
      </w:r>
      <w:r>
        <w:rPr>
          <w:rFonts w:hint="eastAsia" w:ascii="微软雅黑" w:hAnsi="微软雅黑" w:eastAsia="微软雅黑" w:cs="微软雅黑"/>
          <w:spacing w:val="-2"/>
          <w:position w:val="-6"/>
          <w:sz w:val="21"/>
          <w:szCs w:val="21"/>
        </w:rPr>
        <w:t>.</w:t>
      </w:r>
      <w:r>
        <w:rPr>
          <w:rFonts w:hint="eastAsia" w:ascii="微软雅黑" w:hAnsi="微软雅黑" w:eastAsia="微软雅黑" w:cs="微软雅黑"/>
          <w:spacing w:val="-2"/>
          <w:sz w:val="21"/>
          <w:szCs w:val="21"/>
        </w:rPr>
        <w:t>根据权利要求1所述的方法,其特征在于,在一种实施方式中,</w:t>
      </w:r>
      <w:commentRangeStart w:id="5"/>
      <w:r>
        <w:rPr>
          <w:rFonts w:hint="eastAsia" w:ascii="微软雅黑" w:hAnsi="微软雅黑" w:eastAsia="微软雅黑" w:cs="微软雅黑"/>
          <w:spacing w:val="-2"/>
          <w:sz w:val="21"/>
          <w:szCs w:val="21"/>
        </w:rPr>
        <w:t>真实点云的构件级点数统计按对应构件内各表面</w:t>
      </w:r>
      <w:r>
        <w:rPr>
          <w:rFonts w:hint="eastAsia" w:ascii="微软雅黑" w:hAnsi="微软雅黑" w:eastAsia="微软雅黑" w:cs="微软雅黑"/>
          <w:spacing w:val="19"/>
          <w:sz w:val="21"/>
          <w:szCs w:val="21"/>
        </w:rPr>
        <w:t>分块面积比例分配到表面分块</w:t>
      </w:r>
      <w:commentRangeEnd w:id="5"/>
      <w:r>
        <w:rPr>
          <w:rFonts w:hint="eastAsia" w:ascii="微软雅黑" w:hAnsi="微软雅黑" w:eastAsia="微软雅黑" w:cs="微软雅黑"/>
          <w:sz w:val="21"/>
          <w:szCs w:val="21"/>
        </w:rPr>
        <w:commentReference w:id="5"/>
      </w:r>
      <w:r>
        <w:rPr>
          <w:rFonts w:hint="eastAsia" w:ascii="微软雅黑" w:hAnsi="微软雅黑" w:eastAsia="微软雅黑" w:cs="微软雅黑"/>
          <w:spacing w:val="19"/>
          <w:sz w:val="21"/>
          <w:szCs w:val="21"/>
        </w:rPr>
        <w:t>,用于形成表面分块级观测证</w:t>
      </w:r>
      <w:r>
        <w:rPr>
          <w:rFonts w:hint="eastAsia" w:ascii="微软雅黑" w:hAnsi="微软雅黑" w:eastAsia="微软雅黑" w:cs="微软雅黑"/>
          <w:spacing w:val="18"/>
          <w:sz w:val="21"/>
          <w:szCs w:val="21"/>
        </w:rPr>
        <w:t>据。</w:t>
      </w:r>
    </w:p>
    <w:p w14:paraId="7C6A3A60">
      <w:pPr>
        <w:pStyle w:val="3"/>
        <w:keepNext w:val="0"/>
        <w:keepLines w:val="0"/>
        <w:pageBreakBefore w:val="0"/>
        <w:widowControl/>
        <w:kinsoku w:val="0"/>
        <w:wordWrap/>
        <w:overflowPunct/>
        <w:topLinePunct w:val="0"/>
        <w:autoSpaceDE w:val="0"/>
        <w:autoSpaceDN w:val="0"/>
        <w:bidi w:val="0"/>
        <w:adjustRightInd w:val="0"/>
        <w:snapToGrid w:val="0"/>
        <w:spacing w:before="105" w:line="240" w:lineRule="auto"/>
        <w:ind w:left="3" w:right="293" w:firstLine="416"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pacing w:val="-1"/>
          <w:sz w:val="21"/>
          <w:szCs w:val="21"/>
        </w:rPr>
        <w:t>7</w:t>
      </w:r>
      <w:r>
        <w:rPr>
          <w:rFonts w:hint="eastAsia" w:ascii="微软雅黑" w:hAnsi="微软雅黑" w:eastAsia="微软雅黑" w:cs="微软雅黑"/>
          <w:spacing w:val="-1"/>
          <w:position w:val="-6"/>
          <w:sz w:val="21"/>
          <w:szCs w:val="21"/>
        </w:rPr>
        <w:t>.</w:t>
      </w:r>
      <w:r>
        <w:rPr>
          <w:rFonts w:hint="eastAsia" w:ascii="微软雅黑" w:hAnsi="微软雅黑" w:eastAsia="微软雅黑" w:cs="微软雅黑"/>
          <w:spacing w:val="-1"/>
          <w:sz w:val="21"/>
          <w:szCs w:val="21"/>
        </w:rPr>
        <w:t>根据权利要求1所述的方法,其特征在于,观测缺口指标由直接观测状态、有效视角数量、投影分辨率质量和配</w:t>
      </w:r>
      <w:r>
        <w:rPr>
          <w:rFonts w:hint="eastAsia" w:ascii="微软雅黑" w:hAnsi="微软雅黑" w:eastAsia="微软雅黑" w:cs="微软雅黑"/>
          <w:spacing w:val="16"/>
          <w:sz w:val="21"/>
          <w:szCs w:val="21"/>
        </w:rPr>
        <w:t>准置信度中的可用项确定。</w:t>
      </w:r>
    </w:p>
    <w:p w14:paraId="53F3A1CE">
      <w:pPr>
        <w:pStyle w:val="3"/>
        <w:keepNext w:val="0"/>
        <w:keepLines w:val="0"/>
        <w:pageBreakBefore w:val="0"/>
        <w:widowControl/>
        <w:kinsoku w:val="0"/>
        <w:wordWrap/>
        <w:overflowPunct/>
        <w:topLinePunct w:val="0"/>
        <w:autoSpaceDE w:val="0"/>
        <w:autoSpaceDN w:val="0"/>
        <w:bidi w:val="0"/>
        <w:adjustRightInd w:val="0"/>
        <w:snapToGrid w:val="0"/>
        <w:spacing w:before="109" w:line="240" w:lineRule="auto"/>
        <w:ind w:left="3" w:right="294" w:firstLine="416"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pacing w:val="-1"/>
          <w:sz w:val="21"/>
          <w:szCs w:val="21"/>
        </w:rPr>
        <w:t>8</w:t>
      </w:r>
      <w:r>
        <w:rPr>
          <w:rFonts w:hint="eastAsia" w:ascii="微软雅黑" w:hAnsi="微软雅黑" w:eastAsia="微软雅黑" w:cs="微软雅黑"/>
          <w:spacing w:val="-1"/>
          <w:position w:val="-6"/>
          <w:sz w:val="21"/>
          <w:szCs w:val="21"/>
        </w:rPr>
        <w:t>.</w:t>
      </w:r>
      <w:r>
        <w:rPr>
          <w:rFonts w:hint="eastAsia" w:ascii="微软雅黑" w:hAnsi="微软雅黑" w:eastAsia="微软雅黑" w:cs="微软雅黑"/>
          <w:spacing w:val="-1"/>
          <w:sz w:val="21"/>
          <w:szCs w:val="21"/>
        </w:rPr>
        <w:t>根据权利要求1所述的方法,其特征在于,角度缺口指标由</w:t>
      </w:r>
      <w:r>
        <w:rPr>
          <w:rFonts w:hint="eastAsia" w:ascii="微软雅黑" w:hAnsi="微软雅黑" w:eastAsia="微软雅黑" w:cs="微软雅黑"/>
          <w:spacing w:val="-2"/>
          <w:sz w:val="21"/>
          <w:szCs w:val="21"/>
        </w:rPr>
        <w:t>最佳正视性、有效视角数量和角度多样性确定;几何</w:t>
      </w:r>
      <w:r>
        <w:rPr>
          <w:rFonts w:hint="eastAsia" w:ascii="微软雅黑" w:hAnsi="微软雅黑" w:eastAsia="微软雅黑" w:cs="微软雅黑"/>
          <w:spacing w:val="18"/>
          <w:sz w:val="21"/>
          <w:szCs w:val="21"/>
        </w:rPr>
        <w:t>缺口指标由覆盖比例和点密度比例确定。</w:t>
      </w:r>
    </w:p>
    <w:p w14:paraId="02EE899C">
      <w:pPr>
        <w:pStyle w:val="3"/>
        <w:keepNext w:val="0"/>
        <w:keepLines w:val="0"/>
        <w:pageBreakBefore w:val="0"/>
        <w:widowControl/>
        <w:kinsoku w:val="0"/>
        <w:wordWrap/>
        <w:overflowPunct/>
        <w:topLinePunct w:val="0"/>
        <w:autoSpaceDE w:val="0"/>
        <w:autoSpaceDN w:val="0"/>
        <w:bidi w:val="0"/>
        <w:adjustRightInd w:val="0"/>
        <w:snapToGrid w:val="0"/>
        <w:spacing w:before="108" w:line="240" w:lineRule="auto"/>
        <w:ind w:right="193" w:firstLine="412"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pacing w:val="-2"/>
          <w:sz w:val="21"/>
          <w:szCs w:val="21"/>
        </w:rPr>
        <w:t>9</w:t>
      </w:r>
      <w:r>
        <w:rPr>
          <w:rFonts w:hint="eastAsia" w:ascii="微软雅黑" w:hAnsi="微软雅黑" w:eastAsia="微软雅黑" w:cs="微软雅黑"/>
          <w:spacing w:val="-2"/>
          <w:position w:val="-6"/>
          <w:sz w:val="21"/>
          <w:szCs w:val="21"/>
        </w:rPr>
        <w:t>.</w:t>
      </w:r>
      <w:r>
        <w:rPr>
          <w:rFonts w:hint="eastAsia" w:ascii="微软雅黑" w:hAnsi="微软雅黑" w:eastAsia="微软雅黑" w:cs="微软雅黑"/>
          <w:spacing w:val="-2"/>
          <w:sz w:val="21"/>
          <w:szCs w:val="21"/>
        </w:rPr>
        <w:t>根据权利要求1所述的方法,其特征在于,语义缺口指标由IFC构件类别映射得到的语义</w:t>
      </w:r>
      <w:r>
        <w:rPr>
          <w:rFonts w:hint="eastAsia" w:ascii="微软雅黑" w:hAnsi="微软雅黑" w:eastAsia="微软雅黑" w:cs="微软雅黑"/>
          <w:spacing w:val="-3"/>
          <w:sz w:val="21"/>
          <w:szCs w:val="21"/>
        </w:rPr>
        <w:t>分布与点云分类标签映射</w:t>
      </w:r>
      <w:r>
        <w:rPr>
          <w:rFonts w:hint="eastAsia" w:ascii="微软雅黑" w:hAnsi="微软雅黑" w:eastAsia="微软雅黑" w:cs="微软雅黑"/>
          <w:spacing w:val="3"/>
          <w:sz w:val="21"/>
          <w:szCs w:val="21"/>
        </w:rPr>
        <w:t>得到的语义分布之间的</w:t>
      </w:r>
      <w:r>
        <w:rPr>
          <w:rFonts w:hint="eastAsia" w:ascii="微软雅黑" w:hAnsi="微软雅黑" w:eastAsia="微软雅黑" w:cs="微软雅黑"/>
          <w:sz w:val="21"/>
          <w:szCs w:val="21"/>
        </w:rPr>
        <w:t>Jensen</w:t>
      </w:r>
      <w:r>
        <w:rPr>
          <w:rFonts w:hint="eastAsia" w:ascii="微软雅黑" w:hAnsi="微软雅黑" w:eastAsia="微软雅黑" w:cs="微软雅黑"/>
          <w:spacing w:val="3"/>
          <w:sz w:val="21"/>
          <w:szCs w:val="21"/>
        </w:rPr>
        <w:t>-</w:t>
      </w:r>
      <w:r>
        <w:rPr>
          <w:rFonts w:hint="eastAsia" w:ascii="微软雅黑" w:hAnsi="微软雅黑" w:eastAsia="微软雅黑" w:cs="微软雅黑"/>
          <w:sz w:val="21"/>
          <w:szCs w:val="21"/>
        </w:rPr>
        <w:t>Shannon</w:t>
      </w:r>
      <w:r>
        <w:rPr>
          <w:rFonts w:hint="eastAsia" w:ascii="微软雅黑" w:hAnsi="微软雅黑" w:eastAsia="微软雅黑" w:cs="微软雅黑"/>
          <w:spacing w:val="3"/>
          <w:sz w:val="21"/>
          <w:szCs w:val="21"/>
        </w:rPr>
        <w:t>散度确定。</w:t>
      </w:r>
    </w:p>
    <w:p w14:paraId="638F6495">
      <w:pPr>
        <w:pStyle w:val="3"/>
        <w:keepNext w:val="0"/>
        <w:keepLines w:val="0"/>
        <w:pageBreakBefore w:val="0"/>
        <w:widowControl/>
        <w:kinsoku w:val="0"/>
        <w:wordWrap/>
        <w:overflowPunct/>
        <w:topLinePunct w:val="0"/>
        <w:autoSpaceDE w:val="0"/>
        <w:autoSpaceDN w:val="0"/>
        <w:bidi w:val="0"/>
        <w:adjustRightInd w:val="0"/>
        <w:snapToGrid w:val="0"/>
        <w:spacing w:before="104" w:line="240" w:lineRule="auto"/>
        <w:ind w:left="1" w:right="394" w:firstLine="412"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pacing w:val="-2"/>
          <w:sz w:val="21"/>
          <w:szCs w:val="21"/>
        </w:rPr>
        <w:t>10</w:t>
      </w:r>
      <w:r>
        <w:rPr>
          <w:rFonts w:hint="eastAsia" w:ascii="微软雅黑" w:hAnsi="微软雅黑" w:eastAsia="微软雅黑" w:cs="微软雅黑"/>
          <w:spacing w:val="-2"/>
          <w:position w:val="-6"/>
          <w:sz w:val="21"/>
          <w:szCs w:val="21"/>
        </w:rPr>
        <w:t>.</w:t>
      </w:r>
      <w:r>
        <w:rPr>
          <w:rFonts w:hint="eastAsia" w:ascii="微软雅黑" w:hAnsi="微软雅黑" w:eastAsia="微软雅黑" w:cs="微软雅黑"/>
          <w:spacing w:val="-2"/>
          <w:sz w:val="21"/>
          <w:szCs w:val="21"/>
        </w:rPr>
        <w:t>根据权利要求1所述的方法,其特征在于,材料证据包括IFC材料是否存在,以及IFC材料类别与点云颜色推断</w:t>
      </w:r>
      <w:r>
        <w:rPr>
          <w:rFonts w:hint="eastAsia" w:ascii="微软雅黑" w:hAnsi="微软雅黑" w:eastAsia="微软雅黑" w:cs="微软雅黑"/>
          <w:spacing w:val="18"/>
          <w:sz w:val="21"/>
          <w:szCs w:val="21"/>
        </w:rPr>
        <w:t>材料类别之间是否存在预设清晰冲突。</w:t>
      </w:r>
    </w:p>
    <w:p w14:paraId="2391E1D9">
      <w:pPr>
        <w:pStyle w:val="3"/>
        <w:keepNext w:val="0"/>
        <w:keepLines w:val="0"/>
        <w:pageBreakBefore w:val="0"/>
        <w:widowControl/>
        <w:kinsoku w:val="0"/>
        <w:wordWrap/>
        <w:overflowPunct/>
        <w:topLinePunct w:val="0"/>
        <w:autoSpaceDE w:val="0"/>
        <w:autoSpaceDN w:val="0"/>
        <w:bidi w:val="0"/>
        <w:adjustRightInd w:val="0"/>
        <w:snapToGrid w:val="0"/>
        <w:spacing w:before="107" w:line="240" w:lineRule="auto"/>
        <w:ind w:left="3" w:right="174" w:firstLine="416"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pacing w:val="-1"/>
          <w:sz w:val="21"/>
          <w:szCs w:val="21"/>
        </w:rPr>
        <w:t>11</w:t>
      </w:r>
      <w:r>
        <w:rPr>
          <w:rFonts w:hint="eastAsia" w:ascii="微软雅黑" w:hAnsi="微软雅黑" w:eastAsia="微软雅黑" w:cs="微软雅黑"/>
          <w:spacing w:val="-1"/>
          <w:position w:val="-6"/>
          <w:sz w:val="21"/>
          <w:szCs w:val="21"/>
        </w:rPr>
        <w:t>.</w:t>
      </w:r>
      <w:r>
        <w:rPr>
          <w:rFonts w:hint="eastAsia" w:ascii="微软雅黑" w:hAnsi="微软雅黑" w:eastAsia="微软雅黑" w:cs="微软雅黑"/>
          <w:spacing w:val="-1"/>
          <w:sz w:val="21"/>
          <w:szCs w:val="21"/>
        </w:rPr>
        <w:t>根据权利要求1所述的方法,其特征在于,所述可用指标集合排除不</w:t>
      </w:r>
      <w:r>
        <w:rPr>
          <w:rFonts w:hint="eastAsia" w:ascii="微软雅黑" w:hAnsi="微软雅黑" w:eastAsia="微软雅黑" w:cs="微软雅黑"/>
          <w:spacing w:val="-2"/>
          <w:sz w:val="21"/>
          <w:szCs w:val="21"/>
        </w:rPr>
        <w:t>可获得、</w:t>
      </w:r>
      <w:r>
        <w:rPr>
          <w:rFonts w:hint="eastAsia" w:ascii="微软雅黑" w:hAnsi="微软雅黑" w:eastAsia="微软雅黑" w:cs="微软雅黑"/>
          <w:spacing w:val="-39"/>
          <w:sz w:val="21"/>
          <w:szCs w:val="21"/>
        </w:rPr>
        <w:t xml:space="preserve"> </w:t>
      </w:r>
      <w:r>
        <w:rPr>
          <w:rFonts w:hint="eastAsia" w:ascii="微软雅黑" w:hAnsi="微软雅黑" w:eastAsia="微软雅黑" w:cs="微软雅黑"/>
          <w:spacing w:val="-2"/>
          <w:sz w:val="21"/>
          <w:szCs w:val="21"/>
        </w:rPr>
        <w:t>缺失或不可计算的指标值,表面分</w:t>
      </w:r>
      <w:r>
        <w:rPr>
          <w:rFonts w:hint="eastAsia" w:ascii="微软雅黑" w:hAnsi="微软雅黑" w:eastAsia="微软雅黑" w:cs="微软雅黑"/>
          <w:spacing w:val="19"/>
          <w:sz w:val="21"/>
          <w:szCs w:val="21"/>
        </w:rPr>
        <w:t>块缺口分数为可用缺口指标按对应权重加权后除以可用权重之和所得的值。</w:t>
      </w:r>
    </w:p>
    <w:p w14:paraId="4872D42B">
      <w:pPr>
        <w:pStyle w:val="3"/>
        <w:keepNext w:val="0"/>
        <w:keepLines w:val="0"/>
        <w:pageBreakBefore w:val="0"/>
        <w:widowControl/>
        <w:kinsoku w:val="0"/>
        <w:wordWrap/>
        <w:overflowPunct/>
        <w:topLinePunct w:val="0"/>
        <w:autoSpaceDE w:val="0"/>
        <w:autoSpaceDN w:val="0"/>
        <w:bidi w:val="0"/>
        <w:adjustRightInd w:val="0"/>
        <w:snapToGrid w:val="0"/>
        <w:spacing w:before="112" w:line="240" w:lineRule="auto"/>
        <w:ind w:left="1" w:right="189" w:firstLine="416" w:firstLineChars="200"/>
        <w:textAlignment w:val="baseline"/>
        <w:rPr>
          <w:rFonts w:hint="eastAsia" w:ascii="微软雅黑" w:hAnsi="微软雅黑" w:eastAsia="微软雅黑" w:cs="微软雅黑"/>
          <w:spacing w:val="12"/>
          <w:sz w:val="21"/>
          <w:szCs w:val="21"/>
        </w:rPr>
      </w:pPr>
      <w:r>
        <w:rPr>
          <w:rFonts w:hint="eastAsia" w:ascii="微软雅黑" w:hAnsi="微软雅黑" w:eastAsia="微软雅黑" w:cs="微软雅黑"/>
          <w:spacing w:val="-1"/>
          <w:sz w:val="21"/>
          <w:szCs w:val="21"/>
        </w:rPr>
        <w:t>12</w:t>
      </w:r>
      <w:r>
        <w:rPr>
          <w:rFonts w:hint="eastAsia" w:ascii="微软雅黑" w:hAnsi="微软雅黑" w:eastAsia="微软雅黑" w:cs="微软雅黑"/>
          <w:spacing w:val="-1"/>
          <w:position w:val="-6"/>
          <w:sz w:val="21"/>
          <w:szCs w:val="21"/>
        </w:rPr>
        <w:t>.</w:t>
      </w:r>
      <w:r>
        <w:rPr>
          <w:rFonts w:hint="eastAsia" w:ascii="微软雅黑" w:hAnsi="微软雅黑" w:eastAsia="微软雅黑" w:cs="微软雅黑"/>
          <w:spacing w:val="-1"/>
          <w:sz w:val="21"/>
          <w:szCs w:val="21"/>
        </w:rPr>
        <w:t>根据权利要求1所述的方法,其特征在于,候选位姿价值为被候选位姿</w:t>
      </w:r>
      <w:r>
        <w:rPr>
          <w:rFonts w:hint="eastAsia" w:ascii="微软雅黑" w:hAnsi="微软雅黑" w:eastAsia="微软雅黑" w:cs="微软雅黑"/>
          <w:spacing w:val="-2"/>
          <w:sz w:val="21"/>
          <w:szCs w:val="21"/>
        </w:rPr>
        <w:t>计入收益的表面分块的缺口分数、面积和</w:t>
      </w:r>
      <w:r>
        <w:rPr>
          <w:rFonts w:hint="eastAsia" w:ascii="微软雅黑" w:hAnsi="微软雅黑" w:eastAsia="微软雅黑" w:cs="微软雅黑"/>
          <w:spacing w:val="9"/>
          <w:sz w:val="21"/>
          <w:szCs w:val="21"/>
        </w:rPr>
        <w:t>视点质量的乘积求和,再扣除由可见非目标表面分块比例形成的冗余惩罚;其中所述被计入收益的表面分块满足正</w:t>
      </w:r>
      <w:r>
        <w:rPr>
          <w:rFonts w:hint="eastAsia" w:ascii="微软雅黑" w:hAnsi="微软雅黑" w:eastAsia="微软雅黑" w:cs="微软雅黑"/>
          <w:spacing w:val="12"/>
          <w:sz w:val="21"/>
          <w:szCs w:val="21"/>
        </w:rPr>
        <w:t>性阈值、视场角条件和距离条件。</w:t>
      </w:r>
    </w:p>
    <w:p w14:paraId="13C43313">
      <w:pPr>
        <w:pStyle w:val="3"/>
        <w:keepNext w:val="0"/>
        <w:keepLines w:val="0"/>
        <w:pageBreakBefore w:val="0"/>
        <w:widowControl/>
        <w:kinsoku w:val="0"/>
        <w:wordWrap/>
        <w:overflowPunct/>
        <w:topLinePunct w:val="0"/>
        <w:autoSpaceDE w:val="0"/>
        <w:autoSpaceDN w:val="0"/>
        <w:bidi w:val="0"/>
        <w:adjustRightInd w:val="0"/>
        <w:snapToGrid w:val="0"/>
        <w:spacing w:before="112" w:line="240" w:lineRule="auto"/>
        <w:ind w:left="1" w:right="189" w:firstLine="488" w:firstLineChars="200"/>
        <w:textAlignment w:val="baseline"/>
        <w:rPr>
          <w:rFonts w:hint="eastAsia" w:ascii="微软雅黑" w:hAnsi="微软雅黑" w:eastAsia="微软雅黑" w:cs="微软雅黑"/>
          <w:sz w:val="21"/>
          <w:szCs w:val="21"/>
        </w:rPr>
      </w:pPr>
      <w:r>
        <w:rPr>
          <w:rFonts w:hint="eastAsia" w:ascii="微软雅黑" w:hAnsi="微软雅黑" w:eastAsia="微软雅黑" w:cs="微软雅黑"/>
          <w:spacing w:val="17"/>
          <w:sz w:val="21"/>
          <w:szCs w:val="21"/>
        </w:rPr>
        <w:t>13.一种基于IFC表面分块和多源证据融合的建筑点云缺口检测及补充扫描视点规划系统,其特征在于,包括:IFC解析与三角化模块,用于输出</w:t>
      </w:r>
      <w:r>
        <w:rPr>
          <w:rFonts w:hint="eastAsia" w:ascii="微软雅黑" w:hAnsi="微软雅黑" w:eastAsia="微软雅黑" w:cs="微软雅黑"/>
          <w:sz w:val="21"/>
          <w:szCs w:val="21"/>
        </w:rPr>
        <w:t>IFC</w:t>
      </w:r>
      <w:r>
        <w:rPr>
          <w:rFonts w:hint="eastAsia" w:ascii="微软雅黑" w:hAnsi="微软雅黑" w:eastAsia="微软雅黑" w:cs="微软雅黑"/>
          <w:spacing w:val="17"/>
          <w:sz w:val="21"/>
          <w:szCs w:val="21"/>
        </w:rPr>
        <w:t>三角网格和三角面所属构件关系;表面分块模块,用于根据共享边和法向约束</w:t>
      </w:r>
      <w:r>
        <w:rPr>
          <w:rFonts w:hint="eastAsia" w:ascii="微软雅黑" w:hAnsi="微软雅黑" w:eastAsia="微软雅黑" w:cs="微软雅黑"/>
          <w:spacing w:val="16"/>
          <w:sz w:val="21"/>
          <w:szCs w:val="21"/>
        </w:rPr>
        <w:t>生成</w:t>
      </w:r>
      <w:r>
        <w:rPr>
          <w:rFonts w:hint="eastAsia" w:ascii="微软雅黑" w:hAnsi="微软雅黑" w:eastAsia="微软雅黑" w:cs="微软雅黑"/>
          <w:spacing w:val="7"/>
          <w:sz w:val="21"/>
          <w:szCs w:val="21"/>
        </w:rPr>
        <w:t>表面分块及其面积、中心和法向;点云对齐与关联模块,用于输出点云到</w:t>
      </w:r>
      <w:r>
        <w:rPr>
          <w:rFonts w:hint="eastAsia" w:ascii="微软雅黑" w:hAnsi="微软雅黑" w:eastAsia="微软雅黑" w:cs="微软雅黑"/>
          <w:sz w:val="21"/>
          <w:szCs w:val="21"/>
        </w:rPr>
        <w:t>IFC</w:t>
      </w:r>
      <w:r>
        <w:rPr>
          <w:rFonts w:hint="eastAsia" w:ascii="微软雅黑" w:hAnsi="微软雅黑" w:eastAsia="微软雅黑" w:cs="微软雅黑"/>
          <w:spacing w:val="7"/>
          <w:sz w:val="21"/>
          <w:szCs w:val="21"/>
        </w:rPr>
        <w:t>表面的距离关联结果并</w:t>
      </w:r>
      <w:r>
        <w:rPr>
          <w:rFonts w:hint="eastAsia" w:ascii="微软雅黑" w:hAnsi="微软雅黑" w:eastAsia="微软雅黑" w:cs="微软雅黑"/>
          <w:spacing w:val="6"/>
          <w:sz w:val="21"/>
          <w:szCs w:val="21"/>
        </w:rPr>
        <w:t>汇总至表面分块</w:t>
      </w:r>
      <w:r>
        <w:rPr>
          <w:rFonts w:hint="eastAsia" w:ascii="微软雅黑" w:hAnsi="微软雅黑" w:eastAsia="微软雅黑" w:cs="微软雅黑"/>
          <w:spacing w:val="11"/>
          <w:sz w:val="21"/>
          <w:szCs w:val="21"/>
        </w:rPr>
        <w:t>;多源证据模块,用于生成观测、几何、角度、语义或材料证据;缺口评分模块,用于将证据转化为方向一致的缺口</w:t>
      </w:r>
      <w:r>
        <w:rPr>
          <w:rFonts w:hint="eastAsia" w:ascii="微软雅黑" w:hAnsi="微软雅黑" w:eastAsia="微软雅黑" w:cs="微软雅黑"/>
          <w:spacing w:val="9"/>
          <w:sz w:val="21"/>
          <w:szCs w:val="21"/>
        </w:rPr>
        <w:t>指标并在可用指标集合上重归一化融合;候选位姿模块,用于依据目标表面分块中心和法向生成候选补充扫描位姿;</w:t>
      </w:r>
      <w:r>
        <w:rPr>
          <w:rFonts w:hint="eastAsia" w:ascii="微软雅黑" w:hAnsi="微软雅黑" w:eastAsia="微软雅黑" w:cs="微软雅黑"/>
          <w:spacing w:val="13"/>
          <w:sz w:val="21"/>
          <w:szCs w:val="21"/>
        </w:rPr>
        <w:t>视点评分模块,用于根据正视性、视场、距</w:t>
      </w:r>
      <w:r>
        <w:rPr>
          <w:rFonts w:hint="eastAsia" w:ascii="微软雅黑" w:hAnsi="微软雅黑" w:eastAsia="微软雅黑" w:cs="微软雅黑"/>
          <w:spacing w:val="12"/>
          <w:sz w:val="21"/>
          <w:szCs w:val="21"/>
        </w:rPr>
        <w:t>离、面积和缺口分数计算位姿价值;闭环更新模块,用于接收新增观测并</w:t>
      </w:r>
      <w:r>
        <w:rPr>
          <w:rFonts w:hint="eastAsia" w:ascii="微软雅黑" w:hAnsi="微软雅黑" w:eastAsia="微软雅黑" w:cs="微软雅黑"/>
          <w:spacing w:val="19"/>
          <w:sz w:val="21"/>
          <w:szCs w:val="21"/>
        </w:rPr>
        <w:t>更新证据、缺口分数和下—补充扫描位姿。</w:t>
      </w:r>
    </w:p>
    <w:p w14:paraId="5569907B">
      <w:pPr>
        <w:pStyle w:val="3"/>
        <w:spacing w:before="113" w:line="240" w:lineRule="auto"/>
        <w:ind w:right="292" w:firstLine="12"/>
        <w:rPr>
          <w:rFonts w:hint="eastAsia" w:ascii="微软雅黑" w:hAnsi="微软雅黑" w:eastAsia="微软雅黑" w:cs="微软雅黑"/>
          <w:sz w:val="21"/>
          <w:szCs w:val="21"/>
        </w:rPr>
      </w:pPr>
      <w:r>
        <w:rPr>
          <w:rFonts w:hint="eastAsia" w:ascii="微软雅黑" w:hAnsi="微软雅黑" w:eastAsia="微软雅黑" w:cs="微软雅黑"/>
          <w:spacing w:val="16"/>
          <w:sz w:val="21"/>
          <w:szCs w:val="21"/>
        </w:rPr>
        <w:t>14.一种电子设备,其特征在于,包括处理器和存储器,</w:t>
      </w:r>
      <w:r>
        <w:rPr>
          <w:rFonts w:hint="eastAsia" w:ascii="微软雅黑" w:hAnsi="微软雅黑" w:eastAsia="微软雅黑" w:cs="微软雅黑"/>
          <w:spacing w:val="15"/>
          <w:sz w:val="21"/>
          <w:szCs w:val="21"/>
        </w:rPr>
        <w:t>所述存储器存储有计算机程序,所述处理器执行所述计算</w:t>
      </w:r>
      <w:r>
        <w:rPr>
          <w:rFonts w:hint="eastAsia" w:ascii="微软雅黑" w:hAnsi="微软雅黑" w:eastAsia="微软雅黑" w:cs="微软雅黑"/>
          <w:spacing w:val="16"/>
          <w:sz w:val="21"/>
          <w:szCs w:val="21"/>
        </w:rPr>
        <w:t>机程序时实现权利要求1至12任一项所述的方法。</w:t>
      </w:r>
    </w:p>
    <w:p w14:paraId="060A4F52">
      <w:pPr>
        <w:pStyle w:val="3"/>
        <w:spacing w:before="111" w:line="240" w:lineRule="auto"/>
        <w:ind w:left="1" w:right="291" w:firstLine="10"/>
        <w:rPr>
          <w:rFonts w:hint="eastAsia" w:ascii="微软雅黑" w:hAnsi="微软雅黑" w:eastAsia="微软雅黑" w:cs="微软雅黑"/>
          <w:sz w:val="21"/>
          <w:szCs w:val="21"/>
        </w:rPr>
      </w:pPr>
      <w:r>
        <w:rPr>
          <w:rFonts w:hint="eastAsia" w:ascii="微软雅黑" w:hAnsi="微软雅黑" w:eastAsia="微软雅黑" w:cs="微软雅黑"/>
          <w:spacing w:val="16"/>
          <w:sz w:val="21"/>
          <w:szCs w:val="21"/>
        </w:rPr>
        <w:t>15.</w:t>
      </w:r>
      <w:r>
        <w:rPr>
          <w:rFonts w:hint="eastAsia" w:cs="微软雅黑"/>
          <w:spacing w:val="16"/>
          <w:sz w:val="21"/>
          <w:szCs w:val="21"/>
          <w:lang w:val="en-US" w:eastAsia="zh-CN"/>
        </w:rPr>
        <w:t>一</w:t>
      </w:r>
      <w:r>
        <w:rPr>
          <w:rFonts w:hint="eastAsia" w:ascii="微软雅黑" w:hAnsi="微软雅黑" w:eastAsia="微软雅黑" w:cs="微软雅黑"/>
          <w:spacing w:val="16"/>
          <w:sz w:val="21"/>
          <w:szCs w:val="21"/>
        </w:rPr>
        <w:t>种计算机可读存储介质,其特征在于,其上存储有计</w:t>
      </w:r>
      <w:r>
        <w:rPr>
          <w:rFonts w:hint="eastAsia" w:ascii="微软雅黑" w:hAnsi="微软雅黑" w:eastAsia="微软雅黑" w:cs="微软雅黑"/>
          <w:spacing w:val="15"/>
          <w:sz w:val="21"/>
          <w:szCs w:val="21"/>
        </w:rPr>
        <w:t>算机程序,所述计算机程序被处理器执行时实现权利要</w:t>
      </w:r>
      <w:r>
        <w:rPr>
          <w:rFonts w:hint="eastAsia" w:ascii="微软雅黑" w:hAnsi="微软雅黑" w:eastAsia="微软雅黑" w:cs="微软雅黑"/>
          <w:spacing w:val="12"/>
          <w:sz w:val="21"/>
          <w:szCs w:val="21"/>
        </w:rPr>
        <w:t>求1至12任一项所述的方法。</w:t>
      </w:r>
    </w:p>
    <w:p w14:paraId="442A1CB9">
      <w:pPr>
        <w:pStyle w:val="3"/>
        <w:spacing w:before="110" w:line="240" w:lineRule="auto"/>
        <w:ind w:right="150" w:firstLine="12"/>
        <w:rPr>
          <w:sz w:val="16"/>
          <w:szCs w:val="16"/>
        </w:rPr>
      </w:pPr>
      <w:r>
        <w:rPr>
          <w:rFonts w:hint="eastAsia" w:ascii="微软雅黑" w:hAnsi="微软雅黑" w:eastAsia="微软雅黑" w:cs="微软雅黑"/>
          <w:sz w:val="21"/>
          <w:szCs w:val="21"/>
        </w:rPr>
        <w:t>16.</w:t>
      </w:r>
      <w:r>
        <w:rPr>
          <w:rFonts w:hint="eastAsia" w:cs="微软雅黑"/>
          <w:sz w:val="21"/>
          <w:szCs w:val="21"/>
          <w:lang w:val="en-US" w:eastAsia="zh-CN"/>
        </w:rPr>
        <w:t>一</w:t>
      </w:r>
      <w:r>
        <w:rPr>
          <w:rFonts w:hint="eastAsia" w:ascii="微软雅黑" w:hAnsi="微软雅黑" w:eastAsia="微软雅黑" w:cs="微软雅黑"/>
          <w:sz w:val="21"/>
          <w:szCs w:val="21"/>
        </w:rPr>
        <w:t>种计算机程序产品,其特征在于,包括计算机</w:t>
      </w:r>
      <w:r>
        <w:rPr>
          <w:rFonts w:hint="eastAsia" w:ascii="微软雅黑" w:hAnsi="微软雅黑" w:eastAsia="微软雅黑" w:cs="微软雅黑"/>
          <w:spacing w:val="-1"/>
          <w:sz w:val="21"/>
          <w:szCs w:val="21"/>
        </w:rPr>
        <w:t>程序,所述计算机程序被处理器执行时实现权利要求1至12任一</w:t>
      </w:r>
      <w:r>
        <w:rPr>
          <w:rFonts w:hint="eastAsia" w:ascii="微软雅黑" w:hAnsi="微软雅黑" w:eastAsia="微软雅黑" w:cs="微软雅黑"/>
          <w:spacing w:val="23"/>
          <w:sz w:val="21"/>
          <w:szCs w:val="21"/>
        </w:rPr>
        <w:t>项所述的方法。</w:t>
      </w:r>
    </w:p>
    <w:sectPr>
      <w:headerReference r:id="rId7" w:type="default"/>
      <w:pgSz w:w="9518" w:h="13250"/>
      <w:pgMar w:top="400" w:right="1427" w:bottom="0" w:left="1427" w:header="0" w:footer="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jj" w:date="2026-07-22T10:39:15Z" w:initials="">
    <w:p w14:paraId="3689F33E">
      <w:pPr>
        <w:pStyle w:val="2"/>
        <w:rPr>
          <w:rFonts w:hint="default" w:eastAsia="宋体"/>
          <w:lang w:val="en-US" w:eastAsia="zh-CN"/>
        </w:rPr>
      </w:pPr>
      <w:r>
        <w:rPr>
          <w:rFonts w:hint="eastAsia" w:eastAsia="宋体"/>
          <w:lang w:val="en-US" w:eastAsia="zh-CN"/>
        </w:rPr>
        <w:t>根据初步检索评估，本案的建筑点云缺口检测方法已经具有一定创造性，因此可以在权利要求1公开建筑点云缺口检测方法，在从属权利要求中公开补充扫描视点规划方法，这样保护范围更大。</w:t>
      </w:r>
    </w:p>
    <w:p w14:paraId="3161F148">
      <w:pPr>
        <w:pStyle w:val="2"/>
        <w:rPr>
          <w:rFonts w:hint="default" w:eastAsia="宋体"/>
          <w:lang w:val="en-US" w:eastAsia="zh-CN"/>
        </w:rPr>
      </w:pPr>
      <w:r>
        <w:rPr>
          <w:rFonts w:hint="eastAsia" w:eastAsia="宋体"/>
          <w:lang w:val="en-US" w:eastAsia="zh-CN"/>
        </w:rPr>
        <w:t>目前，权利要求1中提供了建筑点云缺口检测及补充扫描视点规划的完整技术方案，请确定建筑点云缺口检测方法在哪一步结束，</w:t>
      </w:r>
    </w:p>
  </w:comment>
  <w:comment w:id="1" w:author="lijj" w:date="2026-07-22T10:24:48Z" w:initials="">
    <w:p w14:paraId="1139E7C9">
      <w:pPr>
        <w:pStyle w:val="2"/>
        <w:rPr>
          <w:rFonts w:hint="default" w:eastAsia="宋体"/>
          <w:lang w:val="en-US" w:eastAsia="zh-CN"/>
        </w:rPr>
      </w:pPr>
      <w:r>
        <w:rPr>
          <w:rFonts w:hint="eastAsia" w:eastAsia="宋体"/>
          <w:lang w:val="en-US" w:eastAsia="zh-CN"/>
        </w:rPr>
        <w:t>参见关于权利要求3的评述建议</w:t>
      </w:r>
    </w:p>
  </w:comment>
  <w:comment w:id="2" w:author="lijj" w:date="2026-07-22T10:31:26Z" w:initials="">
    <w:p w14:paraId="4B22F4B3">
      <w:pPr>
        <w:pStyle w:val="2"/>
        <w:rPr>
          <w:rFonts w:hint="default" w:eastAsia="宋体"/>
          <w:lang w:val="en-US" w:eastAsia="zh-CN"/>
        </w:rPr>
      </w:pPr>
      <w:r>
        <w:rPr>
          <w:rFonts w:hint="eastAsia" w:eastAsia="宋体"/>
          <w:lang w:val="en-US" w:eastAsia="zh-CN"/>
        </w:rPr>
        <w:t>参见关于权利要求6的评述建议</w:t>
      </w:r>
    </w:p>
  </w:comment>
  <w:comment w:id="3" w:author="lijj" w:date="2026-07-22T10:23:25Z" w:initials="">
    <w:p w14:paraId="1EC91A36">
      <w:pPr>
        <w:pStyle w:val="2"/>
        <w:rPr>
          <w:rFonts w:hint="default" w:eastAsia="宋体"/>
          <w:lang w:val="en-US" w:eastAsia="zh-CN"/>
        </w:rPr>
      </w:pPr>
      <w:r>
        <w:rPr>
          <w:rFonts w:hint="eastAsia" w:eastAsia="宋体"/>
          <w:lang w:val="en-US" w:eastAsia="zh-CN"/>
        </w:rPr>
        <w:t>候选邻接三角面和生长区域并未在前述的权利要求1中提到，这两个技术特征在权利要求3中缺少引用基础，需要提供前后对应一致的表述方式，以便代理人确定权利要求1中对相关技术特征进行上位描述的尺度。</w:t>
      </w:r>
    </w:p>
  </w:comment>
  <w:comment w:id="4" w:author="lijj" w:date="2026-07-22T10:27:14Z" w:initials="">
    <w:p w14:paraId="6569B1F5">
      <w:pPr>
        <w:pStyle w:val="2"/>
        <w:rPr>
          <w:rFonts w:hint="default" w:eastAsia="宋体"/>
          <w:lang w:val="en-US" w:eastAsia="zh-CN"/>
        </w:rPr>
      </w:pPr>
      <w:r>
        <w:rPr>
          <w:rFonts w:hint="eastAsia" w:eastAsia="宋体"/>
          <w:lang w:val="en-US" w:eastAsia="zh-CN"/>
        </w:rPr>
        <w:t>这句话暂未理解，建议结合附图3补充描述。</w:t>
      </w:r>
    </w:p>
  </w:comment>
  <w:comment w:id="5" w:author="lijj" w:date="2026-07-22T10:27:58Z" w:initials="">
    <w:p w14:paraId="3DC5ACDF">
      <w:pPr>
        <w:pStyle w:val="2"/>
        <w:rPr>
          <w:rFonts w:hint="default" w:eastAsia="宋体"/>
          <w:lang w:val="en-US" w:eastAsia="zh-CN"/>
        </w:rPr>
      </w:pPr>
      <w:r>
        <w:t>真实点云的构件级点数统计</w:t>
      </w:r>
      <w:r>
        <w:rPr>
          <w:rFonts w:hint="eastAsia" w:eastAsia="宋体"/>
          <w:lang w:eastAsia="zh-CN"/>
        </w:rPr>
        <w:t>，</w:t>
      </w:r>
      <w:r>
        <w:rPr>
          <w:rFonts w:hint="eastAsia" w:eastAsia="宋体"/>
          <w:lang w:val="en-US" w:eastAsia="zh-CN"/>
        </w:rPr>
        <w:t>并未在前述的权利要求1中提到，该技术特征在权利要求6中缺少引用基础，请判断是否要纳入权利要求1中。</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61F148" w15:done="0"/>
  <w15:commentEx w15:paraId="1139E7C9" w15:done="0"/>
  <w15:commentEx w15:paraId="4B22F4B3" w15:done="0"/>
  <w15:commentEx w15:paraId="1EC91A36" w15:done="0"/>
  <w15:commentEx w15:paraId="6569B1F5" w15:done="0"/>
  <w15:commentEx w15:paraId="3DC5ACD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5C9D4">
    <w:pPr>
      <w:pStyle w:val="3"/>
      <w:spacing w:before="61" w:line="235" w:lineRule="exact"/>
      <w:ind w:left="12"/>
      <w:rPr>
        <w:rFonts w:ascii="Arial" w:hAnsi="Arial" w:eastAsia="Arial" w:cs="Arial"/>
        <w:sz w:val="21"/>
        <w:szCs w:val="21"/>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jj">
    <w15:presenceInfo w15:providerId="WPS Office" w15:userId="3500958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A4C2BDF"/>
    <w:rsid w:val="6ED52F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ody Text"/>
    <w:basedOn w:val="1"/>
    <w:semiHidden/>
    <w:qFormat/>
    <w:uiPriority w:val="0"/>
    <w:rPr>
      <w:rFonts w:ascii="微软雅黑" w:hAnsi="微软雅黑" w:eastAsia="微软雅黑" w:cs="微软雅黑"/>
      <w:sz w:val="19"/>
      <w:szCs w:val="19"/>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5253</Words>
  <Characters>6082</Characters>
  <TotalTime>22</TotalTime>
  <ScaleCrop>false</ScaleCrop>
  <LinksUpToDate>false</LinksUpToDate>
  <CharactersWithSpaces>7368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2026-07-12T22:14:00Z</dcterms:created>
  <dc:creator>Administrator</dc:creator>
  <cp:lastModifiedBy>lijj</cp:lastModifiedBy>
  <dcterms:modified xsi:type="dcterms:W3CDTF">2026-07-22T03:04:14Z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2026-07-21T10:32:58Z</vt:filetime>
  </property>
  <property fmtid="{D5CDD505-2E9C-101B-9397-08002B2CF9AE}" pid="4" name="KSOTemplateDocerSaveRecord">
    <vt:lpwstr>eyJoZGlkIjoiYWIwYzljMjUwMWQ4NThlMTE1ZGMzNzQwYjI2MGNlNmQiLCJ1c2VySWQiOiIzNDYyNzAzMjcifQ==</vt:lpwstr>
  </property>
  <property fmtid="{D5CDD505-2E9C-101B-9397-08002B2CF9AE}" pid="5" name="KSOProductBuildVer">
    <vt:lpwstr>2052-12.1.0.26895</vt:lpwstr>
  </property>
  <property fmtid="{D5CDD505-2E9C-101B-9397-08002B2CF9AE}" pid="6" name="ICV">
    <vt:lpwstr>9DCB01314794487CAE9DFAB85276CA0F_13</vt:lpwstr>
  </property>
</Properties>
</file>