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权利要求书（代理人审阅稿）</w:t>
      </w:r>
    </w:p>
    <w:p>
      <w:pPr>
        <w:spacing w:after="80"/>
        <w:jc w:val="both"/>
      </w:pPr>
      <w:r>
        <w:rPr>
          <w:rFonts w:ascii="SimSun" w:hAnsi="SimSun" w:eastAsia="SimSun"/>
          <w:b/>
        </w:rPr>
        <w:t>发明名称</w:t>
      </w:r>
      <w:r>
        <w:rPr>
          <w:rFonts w:ascii="SimSun" w:hAnsi="SimSun" w:eastAsia="SimSun"/>
        </w:rPr>
        <w:t>：一种基于设计模型与在线遮挡发现的补充扫描规划方法及系统</w:t>
      </w:r>
    </w:p>
    <w:p>
      <w:pPr>
        <w:spacing w:after="80"/>
        <w:jc w:val="both"/>
      </w:pPr>
      <w:r>
        <w:rPr>
          <w:rFonts w:ascii="SimSun" w:hAnsi="SimSun" w:eastAsia="SimSun"/>
          <w:b/>
        </w:rPr>
        <w:t>版本</w:t>
      </w:r>
      <w:r>
        <w:rPr>
          <w:rFonts w:ascii="SimSun" w:hAnsi="SimSun" w:eastAsia="SimSun"/>
        </w:rPr>
        <w:t>：宽保护方案（主稿）。稳创造性方案见《C 待代理人确认的权项与法律策略事项》第 1 项。</w:t>
      </w:r>
    </w:p>
    <w:p>
      <w:pPr>
        <w:ind w:left="360"/>
      </w:pPr>
      <w:r>
        <w:rPr>
          <w:rFonts w:ascii="SimSun" w:hAnsi="SimSun" w:eastAsia="SimSun"/>
          <w:i/>
        </w:rPr>
        <w:t>本文件为专利正文，不含代码路径、提交标识、测试文件名或实验运行状态。</w:t>
      </w:r>
    </w:p>
    <w:p>
      <w:pPr>
        <w:ind w:left="360"/>
      </w:pPr>
      <w:r>
        <w:rPr>
          <w:rFonts w:ascii="SimSun" w:hAnsi="SimSun" w:eastAsia="SimSun"/>
          <w:i/>
        </w:rPr>
        <w:t>全部实验依据见《D 实验与证据追溯表》。</w:t>
      </w:r>
    </w:p>
    <w:p>
      <w:pPr>
        <w:spacing w:after="80"/>
        <w:jc w:val="both"/>
      </w:pPr>
      <w:r>
        <w:rPr>
          <w:rFonts w:ascii="SimSun" w:hAnsi="SimSun" w:eastAsia="SimSun"/>
          <w:b/>
        </w:rPr>
        <w:t>1.</w:t>
      </w:r>
      <w:r>
        <w:rPr>
          <w:rFonts w:ascii="SimSun" w:hAnsi="SimSun" w:eastAsia="SimSun"/>
        </w:rPr>
        <w:t xml:space="preserve"> 一种补充扫描规划方法，其特征在于，包括：</w:t>
      </w:r>
    </w:p>
    <w:p>
      <w:pPr>
        <w:spacing w:after="80"/>
        <w:jc w:val="both"/>
      </w:pPr>
      <w:r>
        <w:rPr>
          <w:rFonts w:ascii="SimSun" w:hAnsi="SimSun" w:eastAsia="SimSun"/>
        </w:rPr>
        <w:t>S1，依据设计建筑信息模型与已采集点云，确定所述设计建筑信息模型的表面分块的缺口证据与任务分数；</w:t>
      </w:r>
    </w:p>
    <w:p>
      <w:pPr>
        <w:spacing w:after="80"/>
        <w:jc w:val="both"/>
      </w:pPr>
      <w:r>
        <w:rPr>
          <w:rFonts w:ascii="SimSun" w:hAnsi="SimSun" w:eastAsia="SimSun"/>
        </w:rPr>
        <w:t>S2，依据所述设计建筑信息模型中构件的平面占位与高度信息，以及移动平台的尺寸，构建所述移动平台的可通行空间；</w:t>
      </w:r>
    </w:p>
    <w:p>
      <w:pPr>
        <w:spacing w:after="80"/>
        <w:jc w:val="both"/>
      </w:pPr>
      <w:r>
        <w:rPr>
          <w:rFonts w:ascii="SimSun" w:hAnsi="SimSun" w:eastAsia="SimSun"/>
        </w:rPr>
        <w:t>S3，依据所述缺口证据，在所述可通行空间内生成多个候选补充扫描站位，并确定自当前位姿至各候选补充扫描站位的可通行路径代价；</w:t>
      </w:r>
    </w:p>
    <w:p>
      <w:pPr>
        <w:spacing w:after="80"/>
        <w:jc w:val="both"/>
      </w:pPr>
      <w:r>
        <w:rPr>
          <w:rFonts w:ascii="SimSun" w:hAnsi="SimSun" w:eastAsia="SimSun"/>
        </w:rPr>
        <w:t>S4，依据规划用遮挡模型，计算各候选补充扫描站位对各表面分块的可见性，并依据所述可见性与所述任务分数确定各候选补充扫描站位的价值；所述规划用遮挡模型的初始内容为所述设计建筑信息模型的表面；</w:t>
      </w:r>
    </w:p>
    <w:p>
      <w:pPr>
        <w:spacing w:after="80"/>
        <w:jc w:val="both"/>
      </w:pPr>
      <w:r>
        <w:rPr>
          <w:rFonts w:ascii="SimSun" w:hAnsi="SimSun" w:eastAsia="SimSun"/>
        </w:rPr>
        <w:t>S5，在剩余可通行路径代价预算的约束下，自所述候选补充扫描站位中选定一个或多个待执行站位；</w:t>
      </w:r>
    </w:p>
    <w:p>
      <w:pPr>
        <w:spacing w:after="80"/>
        <w:jc w:val="both"/>
      </w:pPr>
      <w:r>
        <w:rPr>
          <w:rFonts w:ascii="SimSun" w:hAnsi="SimSun" w:eastAsia="SimSun"/>
        </w:rPr>
        <w:t>S6，基于所述待执行站位，按照预设执行规则，自满足所述剩余可通行路径代价预算的候选补充扫描站位中确定本轮执行的站位，其中所述待执行站位作为优先选择集合；移动至所述本轮执行的站位并获取新增点云；</w:t>
      </w:r>
    </w:p>
    <w:p>
      <w:pPr>
        <w:spacing w:after="80"/>
        <w:jc w:val="both"/>
      </w:pPr>
      <w:r>
        <w:rPr>
          <w:rFonts w:ascii="SimSun" w:hAnsi="SimSun" w:eastAsia="SimSun"/>
        </w:rPr>
        <w:t>S7，在所述新增点云满足预设更新条件的情况下，计算所述新增点云中各回波点至所述设计建筑信息模型全部表面的最近距离，将所述最近距离大于预设距离阈值、且高度大于预设地面高度阈值的回波点判定为模型外表面点，并对判定所得的模型外表面点的集合作体素化；</w:t>
      </w:r>
    </w:p>
    <w:p>
      <w:pPr>
        <w:spacing w:after="80"/>
        <w:jc w:val="both"/>
      </w:pPr>
      <w:r>
        <w:rPr>
          <w:rFonts w:ascii="SimSun" w:hAnsi="SimSun" w:eastAsia="SimSun"/>
        </w:rPr>
        <w:t>S8，将所述体素化所得的体素并入所述规划用遮挡模型，且不为所述体素建立与任何表面分块的归属关系；根据所述新增点云是否满足所述预设更新条件，以所述新增点云更新所述缺口证据或者保持所述缺口证据不变；自所述剩余可通行路径代价预算中扣减本轮消耗的可通行路径代价；并在所述剩余可通行路径代价预算允许且仍存在缺口的表面分块时，以更新后的规划用遮挡模型与缺口证据重新执行 S3 至 S7。</w:t>
      </w:r>
    </w:p>
    <w:p>
      <w:pPr>
        <w:spacing w:after="80"/>
        <w:jc w:val="both"/>
      </w:pPr>
      <w:r>
        <w:rPr>
          <w:rFonts w:ascii="SimSun" w:hAnsi="SimSun" w:eastAsia="SimSun"/>
          <w:b/>
        </w:rPr>
        <w:t>2.</w:t>
      </w:r>
      <w:r>
        <w:rPr>
          <w:rFonts w:ascii="SimSun" w:hAnsi="SimSun" w:eastAsia="SimSun"/>
        </w:rPr>
        <w:t xml:space="preserve"> 根据权利要求 1 所述的方法，其特征在于，S6 中确定本轮执行的站位包括：</w:t>
      </w:r>
    </w:p>
    <w:p>
      <w:pPr>
        <w:spacing w:after="80"/>
        <w:jc w:val="both"/>
      </w:pPr>
      <w:r>
        <w:rPr>
          <w:rFonts w:ascii="SimSun" w:hAnsi="SimSun" w:eastAsia="SimSun"/>
        </w:rPr>
        <w:t>优先自所述待执行站位中取满足所述剩余可通行路径代价预算者；当所述待执行站位中不存在满足所述剩余可通行路径代价预算者时，自全部满足所述剩余可通行路径代价预算的候选补充扫描站位中，取价值最高者作为本轮执行的站位。</w:t>
      </w:r>
    </w:p>
    <w:p>
      <w:pPr>
        <w:spacing w:after="80"/>
        <w:jc w:val="both"/>
      </w:pPr>
      <w:r>
        <w:rPr>
          <w:rFonts w:ascii="SimSun" w:hAnsi="SimSun" w:eastAsia="SimSun"/>
          <w:b/>
        </w:rPr>
        <w:t>3.</w:t>
      </w:r>
      <w:r>
        <w:rPr>
          <w:rFonts w:ascii="SimSun" w:hAnsi="SimSun" w:eastAsia="SimSun"/>
        </w:rPr>
        <w:t xml:space="preserve"> 根据权利要求 1 或 2 所述的方法，其特征在于，所述预设执行规则为：</w:t>
      </w:r>
    </w:p>
    <w:p>
      <w:pPr>
        <w:spacing w:after="80"/>
        <w:jc w:val="both"/>
      </w:pPr>
      <w:r>
        <w:rPr>
          <w:rFonts w:ascii="SimSun" w:hAnsi="SimSun" w:eastAsia="SimSun"/>
        </w:rPr>
        <w:t>先自所述优先选择集合中取出满足所述剩余可通行路径代价预算者，构成可排序站位；再对所述可排序站位进行路线排序，生成一条经过所述可排序站位的开环路线；并将所述开环路线中的首个站位确定为本轮执行的站位。</w:t>
      </w:r>
    </w:p>
    <w:p>
      <w:pPr>
        <w:spacing w:after="80"/>
        <w:jc w:val="both"/>
      </w:pPr>
      <w:r>
        <w:rPr>
          <w:rFonts w:ascii="SimSun" w:hAnsi="SimSun" w:eastAsia="SimSun"/>
          <w:b/>
        </w:rPr>
        <w:t>4.</w:t>
      </w:r>
      <w:r>
        <w:rPr>
          <w:rFonts w:ascii="SimSun" w:hAnsi="SimSun" w:eastAsia="SimSun"/>
        </w:rPr>
        <w:t xml:space="preserve"> 根据权利要求 1 或 2 所述的方法，其特征在于，S5 中选定所述待执行站位包括：</w:t>
      </w:r>
    </w:p>
    <w:p>
      <w:pPr>
        <w:spacing w:after="80"/>
        <w:jc w:val="both"/>
      </w:pPr>
      <w:r>
        <w:rPr>
          <w:rFonts w:ascii="SimSun" w:hAnsi="SimSun" w:eastAsia="SimSun"/>
        </w:rPr>
        <w:t>以各表面分块的覆盖成功概率、任务分数及面积构造关于站位集合的集合收益函数；对每一候选补充扫描站位，以将该候选补充扫描站位加入当前已选站位集合前后所述集合收益函数的增量作为该候选补充扫描站位的边际收益，以该候选补充扫描站位的所述可通行路径代价与单站作业耗时折算的等效路径代价之和作为该候选补充扫描站位的等效成本，按所述边际收益与所述等效成本之比由大至小依次选取；</w:t>
      </w:r>
    </w:p>
    <w:p>
      <w:pPr>
        <w:spacing w:after="80"/>
        <w:jc w:val="both"/>
      </w:pPr>
      <w:r>
        <w:rPr>
          <w:rFonts w:ascii="SimSun" w:hAnsi="SimSun" w:eastAsia="SimSun"/>
        </w:rPr>
        <w:t>且所述预设执行规则为：将所述依次选取中最先被选取的、且满足所述剩余可通行路径代价预算的站位确定为本轮执行的站位。</w:t>
      </w:r>
    </w:p>
    <w:p>
      <w:pPr>
        <w:spacing w:after="80"/>
        <w:jc w:val="both"/>
      </w:pPr>
      <w:r>
        <w:rPr>
          <w:rFonts w:ascii="SimSun" w:hAnsi="SimSun" w:eastAsia="SimSun"/>
          <w:b/>
        </w:rPr>
        <w:t>5.</w:t>
      </w:r>
      <w:r>
        <w:rPr>
          <w:rFonts w:ascii="SimSun" w:hAnsi="SimSun" w:eastAsia="SimSun"/>
        </w:rPr>
        <w:t xml:space="preserve"> 根据权利要求 1 或 2 所述的方法，其特征在于，所述预设执行规则为：</w:t>
      </w:r>
    </w:p>
    <w:p>
      <w:pPr>
        <w:spacing w:after="80"/>
        <w:jc w:val="both"/>
      </w:pPr>
      <w:r>
        <w:rPr>
          <w:rFonts w:ascii="SimSun" w:hAnsi="SimSun" w:eastAsia="SimSun"/>
        </w:rPr>
        <w:t>对所述优先选择集合中满足所述剩余可通行路径代价预算者，分别确定其收益增量与其所述可通行路径代价；将所述收益增量除以本轮各该站位的收益增量的最大值，得到归一收益项；将所述可通行路径代价除以本轮各该站位的可通行路径代价的最大值，得到归一路径项；并将使所述归一收益项与所述归一路径项的加权差最大的站位确定为本轮执行的站位。</w:t>
      </w:r>
    </w:p>
    <w:p>
      <w:pPr>
        <w:spacing w:after="80"/>
        <w:jc w:val="both"/>
      </w:pPr>
      <w:r>
        <w:rPr>
          <w:rFonts w:ascii="SimSun" w:hAnsi="SimSun" w:eastAsia="SimSun"/>
          <w:b/>
        </w:rPr>
        <w:t>6.</w:t>
      </w:r>
      <w:r>
        <w:rPr>
          <w:rFonts w:ascii="SimSun" w:hAnsi="SimSun" w:eastAsia="SimSun"/>
        </w:rPr>
        <w:t xml:space="preserve"> 根据权利要求 1 所述的方法，其特征在于，S3 中生成所述候选补充扫描站位之前，先将所述表面分块按其所属构件分组，每一构件取不超过预设条数的表面分块构成目标分块集合，且所述目标分块集合的容量随所述设计建筑信息模型中构件的数量缩放；所述候选补充扫描站位依据所述目标分块集合中各表面分块的位置与法向生成。</w:t>
      </w:r>
    </w:p>
    <w:p>
      <w:pPr>
        <w:spacing w:after="80"/>
        <w:jc w:val="both"/>
      </w:pPr>
      <w:r>
        <w:rPr>
          <w:rFonts w:ascii="SimSun" w:hAnsi="SimSun" w:eastAsia="SimSun"/>
          <w:b/>
        </w:rPr>
        <w:t>7.</w:t>
      </w:r>
      <w:r>
        <w:rPr>
          <w:rFonts w:ascii="SimSun" w:hAnsi="SimSun" w:eastAsia="SimSun"/>
        </w:rPr>
        <w:t xml:space="preserve"> 根据权利要求 1 所述的方法，其特征在于，S2 中所述可通行空间以二维栅格表示；顶面高度不大于预设跨越高度的构件不标记为障碍；底面离地净空大于所述移动平台的高度的构件不标记为障碍；带电构件按其对地安全距离追加标记；已标记的栅格按所述移动平台的半径作膨胀。</w:t>
      </w:r>
    </w:p>
    <w:p>
      <w:pPr>
        <w:spacing w:after="80"/>
        <w:jc w:val="both"/>
      </w:pPr>
      <w:r>
        <w:rPr>
          <w:rFonts w:ascii="SimSun" w:hAnsi="SimSun" w:eastAsia="SimSun"/>
          <w:b/>
        </w:rPr>
        <w:t>8.</w:t>
      </w:r>
      <w:r>
        <w:rPr>
          <w:rFonts w:ascii="SimSun" w:hAnsi="SimSun" w:eastAsia="SimSun"/>
        </w:rPr>
        <w:t xml:space="preserve"> 根据权利要求 1 所述的方法，其特征在于，S3 中通过自所述当前位姿在所述可通行空间上作一次单源最短路求解，一次性获得自所述当前位姿至所述可通行空间内全部位置的可通行路径代价，并据以确定各候选补充扫描站位的所述可通行路径代价。</w:t>
      </w:r>
    </w:p>
    <w:p>
      <w:pPr>
        <w:spacing w:after="80"/>
        <w:jc w:val="both"/>
      </w:pPr>
      <w:r>
        <w:rPr>
          <w:rFonts w:ascii="SimSun" w:hAnsi="SimSun" w:eastAsia="SimSun"/>
          <w:b/>
        </w:rPr>
        <w:t>9.</w:t>
      </w:r>
      <w:r>
        <w:rPr>
          <w:rFonts w:ascii="SimSun" w:hAnsi="SimSun" w:eastAsia="SimSun"/>
        </w:rPr>
        <w:t xml:space="preserve"> 根据权利要求 1 所述的方法，其特征在于，所述预设更新条件为：所述本轮执行的站位所观测到的表面与此前各轮执行的站位所观测到的表面之间的实际重叠比例不低于预设重叠下限；</w:t>
      </w:r>
    </w:p>
    <w:p>
      <w:pPr>
        <w:spacing w:after="80"/>
        <w:jc w:val="both"/>
      </w:pPr>
      <w:r>
        <w:rPr>
          <w:rFonts w:ascii="SimSun" w:hAnsi="SimSun" w:eastAsia="SimSun"/>
        </w:rPr>
        <w:t>所述新增点云不满足所述预设更新条件时，不对所述新增点云执行 S7 所述的判定与体素化，所述规划用遮挡模型保持不变，所述缺口证据保持不变，并记录所述本轮执行的站位为失败站位；</w:t>
      </w:r>
    </w:p>
    <w:p>
      <w:pPr>
        <w:spacing w:after="80"/>
        <w:jc w:val="both"/>
      </w:pPr>
      <w:r>
        <w:rPr>
          <w:rFonts w:ascii="SimSun" w:hAnsi="SimSun" w:eastAsia="SimSun"/>
        </w:rPr>
        <w:t>在后续轮次执行 S3 时，剔除与此前各轮执行的站位或与所述失败站位之间的距离不大于预设去重阈值的候选补充扫描站位。</w:t>
      </w:r>
    </w:p>
    <w:p>
      <w:pPr>
        <w:spacing w:after="80"/>
        <w:jc w:val="both"/>
      </w:pPr>
      <w:r>
        <w:rPr>
          <w:rFonts w:ascii="SimSun" w:hAnsi="SimSun" w:eastAsia="SimSun"/>
          <w:b/>
        </w:rPr>
        <w:t>10.</w:t>
      </w:r>
      <w:r>
        <w:rPr>
          <w:rFonts w:ascii="SimSun" w:hAnsi="SimSun" w:eastAsia="SimSun"/>
        </w:rPr>
        <w:t xml:space="preserve"> 根据权利要求 9 所述的方法，其特征在于，所述预设更新条件还包括：由所述实际重叠所涉表面的采样点及其法向所构造的点到面信息矩阵的条件数所确定的位姿误差量级不超过预设容差。</w:t>
      </w:r>
    </w:p>
    <w:p>
      <w:pPr>
        <w:spacing w:after="80"/>
        <w:jc w:val="both"/>
      </w:pPr>
      <w:r>
        <w:rPr>
          <w:rFonts w:ascii="SimSun" w:hAnsi="SimSun" w:eastAsia="SimSun"/>
          <w:b/>
        </w:rPr>
        <w:t>11.</w:t>
      </w:r>
      <w:r>
        <w:rPr>
          <w:rFonts w:ascii="SimSun" w:hAnsi="SimSun" w:eastAsia="SimSun"/>
        </w:rPr>
        <w:t xml:space="preserve"> 一种补充扫描规划系统，其特征在于，包括：</w:t>
      </w:r>
    </w:p>
    <w:p>
      <w:pPr>
        <w:spacing w:after="80"/>
        <w:jc w:val="both"/>
      </w:pPr>
      <w:r>
        <w:rPr>
          <w:rFonts w:ascii="SimSun" w:hAnsi="SimSun" w:eastAsia="SimSun"/>
        </w:rPr>
        <w:t>证据构建模块，用于执行权利要求 1 所述的 S1；可通行空间构建模块，用于执行权利要求 1 所述的 S2；候选生成模块，用于执行权利要求 1 所述的 S3；站位评估模块，用于执行权利要求 1 所述的 S4；待执行站位选定模块，用于执行权利要求 1 所述的 S5；执行与观测获取模块，用于执行权利要求 1 所述的 S6；模型外遮挡发现模块，用于执行权利要求 1 所述的 S7；更新与重规划模块，用于执行权利要求 1 所述的 S8。</w:t>
      </w:r>
    </w:p>
    <w:p>
      <w:pPr>
        <w:spacing w:after="80"/>
        <w:jc w:val="both"/>
      </w:pPr>
      <w:r>
        <w:rPr>
          <w:rFonts w:ascii="SimSun" w:hAnsi="SimSun" w:eastAsia="SimSun"/>
          <w:b/>
        </w:rPr>
        <w:t>12.</w:t>
      </w:r>
      <w:r>
        <w:rPr>
          <w:rFonts w:ascii="SimSun" w:hAnsi="SimSun" w:eastAsia="SimSun"/>
        </w:rPr>
        <w:t xml:space="preserve"> 一种计算机可读存储介质，其上存储有计算机程序，其特征在于，所述计算机程序被处理器执行时实现权利要求 1 至 10 中任一项所述的方法。</w:t>
      </w:r>
    </w:p>
    <w:p>
      <w:pPr>
        <w:pStyle w:val="Heading2"/>
        <w:spacing w:before="200" w:after="80"/>
      </w:pPr>
      <w:r>
        <w:rPr>
          <w:rFonts w:ascii="SimHei" w:hAnsi="SimHei" w:eastAsia="SimHei"/>
          <w:color w:val="000000"/>
          <w:sz w:val="27"/>
        </w:rPr>
        <w:t>附：本稿相对上一版的修改（第六轮，逻辑修复）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项</w:t>
            </w:r>
          </w:p>
        </w:tc>
        <w:tc>
          <w:tcPr>
            <w:tcW w:type="dxa" w:w="2880"/>
          </w:tcPr>
          <w:p>
            <w:pPr>
              <w:spacing w:before="20" w:after="20"/>
            </w:pPr>
            <w:r>
              <w:rPr>
                <w:rFonts w:ascii="SimSun" w:hAnsi="SimSun" w:eastAsia="SimSun"/>
                <w:b/>
                <w:sz w:val="17"/>
              </w:rPr>
              <w:t>上一版的问题</w:t>
            </w:r>
          </w:p>
        </w:tc>
        <w:tc>
          <w:tcPr>
            <w:tcW w:type="dxa" w:w="2880"/>
          </w:tcPr>
          <w:p>
            <w:pPr>
              <w:spacing w:before="20" w:after="20"/>
            </w:pPr>
            <w:r>
              <w:rPr>
                <w:rFonts w:ascii="SimSun" w:hAnsi="SimSun" w:eastAsia="SimSun"/>
                <w:b/>
                <w:sz w:val="17"/>
              </w:rPr>
              <w:t>本版的处理</w:t>
            </w:r>
          </w:p>
        </w:tc>
      </w:tr>
      <w:tr>
        <w:tc>
          <w:tcPr>
            <w:tcW w:type="dxa" w:w="2880"/>
          </w:tcPr>
          <w:p>
            <w:pPr>
              <w:spacing w:before="20" w:after="20"/>
            </w:pPr>
            <w:r>
              <w:rPr>
                <w:rFonts w:ascii="SimSun" w:hAnsi="SimSun" w:eastAsia="SimSun"/>
                <w:b/>
                <w:sz w:val="17"/>
              </w:rPr>
              <w:t>1. 权 1 S6 与权 2 的父子矛盾</w:t>
            </w:r>
          </w:p>
        </w:tc>
        <w:tc>
          <w:tcPr>
            <w:tcW w:type="dxa" w:w="2880"/>
          </w:tcPr>
          <w:p>
            <w:pPr>
              <w:spacing w:before="20" w:after="20"/>
            </w:pPr>
            <w:r>
              <w:rPr>
                <w:rFonts w:ascii="SimSun" w:hAnsi="SimSun" w:eastAsia="SimSun"/>
                <w:sz w:val="17"/>
              </w:rPr>
              <w:t>权 1 限定"自所述待执行站位中确定"，而权 2 在无可达者时改自全部候选中选取，属以另一路径替换父权必要路径</w:t>
            </w:r>
          </w:p>
        </w:tc>
        <w:tc>
          <w:tcPr>
            <w:tcW w:type="dxa" w:w="2880"/>
          </w:tcPr>
          <w:p>
            <w:pPr>
              <w:spacing w:before="20" w:after="20"/>
            </w:pPr>
            <w:r>
              <w:rPr>
                <w:rFonts w:ascii="SimSun" w:hAnsi="SimSun" w:eastAsia="SimSun"/>
                <w:sz w:val="17"/>
              </w:rPr>
              <w:t>权 1 S6 上位化为"基于所述待执行站位……自满足所述剩余预算的候选补充扫描站位中确定本轮执行的站位，其中所述待执行站位作为</w:t>
            </w:r>
            <w:r>
              <w:rPr>
                <w:rFonts w:ascii="SimSun" w:hAnsi="SimSun" w:eastAsia="SimSun"/>
                <w:b/>
                <w:sz w:val="17"/>
              </w:rPr>
              <w:t>优先选择集合</w:t>
            </w:r>
            <w:r>
              <w:rPr>
                <w:rFonts w:ascii="SimSun" w:hAnsi="SimSun" w:eastAsia="SimSun"/>
                <w:sz w:val="17"/>
              </w:rPr>
              <w:t>"。权 2 由此成为对该上位规则的真正下位限定</w:t>
            </w:r>
          </w:p>
        </w:tc>
      </w:tr>
      <w:tr>
        <w:tc>
          <w:tcPr>
            <w:tcW w:type="dxa" w:w="2880"/>
          </w:tcPr>
          <w:p>
            <w:pPr>
              <w:spacing w:before="20" w:after="20"/>
            </w:pPr>
            <w:r>
              <w:rPr>
                <w:rFonts w:ascii="SimSun" w:hAnsi="SimSun" w:eastAsia="SimSun"/>
                <w:b/>
                <w:sz w:val="17"/>
              </w:rPr>
              <w:t>2. 权 1 S8 与权 9 的父子矛盾</w:t>
            </w:r>
          </w:p>
        </w:tc>
        <w:tc>
          <w:tcPr>
            <w:tcW w:type="dxa" w:w="2880"/>
          </w:tcPr>
          <w:p>
            <w:pPr>
              <w:spacing w:before="20" w:after="20"/>
            </w:pPr>
            <w:r>
              <w:rPr>
                <w:rFonts w:ascii="SimSun" w:hAnsi="SimSun" w:eastAsia="SimSun"/>
                <w:sz w:val="17"/>
              </w:rPr>
              <w:t>权 1 无条件要求"以所述新增点云更新所述缺口证据"，权 9 却规定不可用时不更新</w:t>
            </w:r>
          </w:p>
        </w:tc>
        <w:tc>
          <w:tcPr>
            <w:tcW w:type="dxa" w:w="2880"/>
          </w:tcPr>
          <w:p>
            <w:pPr>
              <w:spacing w:before="20" w:after="20"/>
            </w:pPr>
            <w:r>
              <w:rPr>
                <w:rFonts w:ascii="SimSun" w:hAnsi="SimSun" w:eastAsia="SimSun"/>
                <w:sz w:val="17"/>
              </w:rPr>
              <w:t>权 1 S7 与 S8 均改为以"</w:t>
            </w:r>
            <w:r>
              <w:rPr>
                <w:rFonts w:ascii="SimSun" w:hAnsi="SimSun" w:eastAsia="SimSun"/>
                <w:b/>
                <w:sz w:val="17"/>
              </w:rPr>
              <w:t>预设更新条件</w:t>
            </w:r>
            <w:r>
              <w:rPr>
                <w:rFonts w:ascii="SimSun" w:hAnsi="SimSun" w:eastAsia="SimSun"/>
                <w:sz w:val="17"/>
              </w:rPr>
              <w:t>"为前提的条件逻辑；权 9 具体化该条件为实际重叠比例判据，属限定而非否定</w:t>
            </w:r>
          </w:p>
        </w:tc>
      </w:tr>
      <w:tr>
        <w:tc>
          <w:tcPr>
            <w:tcW w:type="dxa" w:w="2880"/>
          </w:tcPr>
          <w:p>
            <w:pPr>
              <w:spacing w:before="20" w:after="20"/>
            </w:pPr>
            <w:r>
              <w:rPr>
                <w:rFonts w:ascii="SimSun" w:hAnsi="SimSun" w:eastAsia="SimSun"/>
                <w:b/>
                <w:sz w:val="17"/>
              </w:rPr>
              <w:t>3. 配准失败数据的使用范围</w:t>
            </w:r>
          </w:p>
        </w:tc>
        <w:tc>
          <w:tcPr>
            <w:tcW w:type="dxa" w:w="2880"/>
          </w:tcPr>
          <w:p>
            <w:pPr>
              <w:spacing w:before="20" w:after="20"/>
            </w:pPr>
            <w:r>
              <w:rPr>
                <w:rFonts w:ascii="SimSun" w:hAnsi="SimSun" w:eastAsia="SimSun"/>
                <w:sz w:val="17"/>
              </w:rPr>
              <w:t>权 9 只说不更新缺口证据，未说明是否仍用于发现模型外遮挡物；说明书亦含糊</w:t>
            </w:r>
          </w:p>
        </w:tc>
        <w:tc>
          <w:tcPr>
            <w:tcW w:type="dxa" w:w="2880"/>
          </w:tcPr>
          <w:p>
            <w:pPr>
              <w:spacing w:before="20" w:after="20"/>
            </w:pPr>
            <w:r>
              <w:rPr>
                <w:rFonts w:ascii="SimSun" w:hAnsi="SimSun" w:eastAsia="SimSun"/>
                <w:sz w:val="17"/>
              </w:rPr>
              <w:t>依代码实际行为定稿：</w:t>
            </w:r>
            <w:r>
              <w:rPr>
                <w:rFonts w:ascii="SimSun" w:hAnsi="SimSun" w:eastAsia="SimSun"/>
                <w:b/>
                <w:sz w:val="17"/>
              </w:rPr>
              <w:t>失败时 S7 整体不执行，规划用遮挡模型与缺口证据均保持不变</w:t>
            </w:r>
            <w:r>
              <w:rPr>
                <w:rFonts w:ascii="SimSun" w:hAnsi="SimSun" w:eastAsia="SimSun"/>
                <w:sz w:val="17"/>
              </w:rPr>
              <w:t>。理由见《B 说明书》8.9</w:t>
            </w:r>
          </w:p>
        </w:tc>
      </w:tr>
      <w:tr>
        <w:tc>
          <w:tcPr>
            <w:tcW w:type="dxa" w:w="2880"/>
          </w:tcPr>
          <w:p>
            <w:pPr>
              <w:spacing w:before="20" w:after="20"/>
            </w:pPr>
            <w:r>
              <w:rPr>
                <w:rFonts w:ascii="SimSun" w:hAnsi="SimSun" w:eastAsia="SimSun"/>
                <w:b/>
                <w:sz w:val="17"/>
              </w:rPr>
              <w:t>4. 预算口径不一致</w:t>
            </w:r>
          </w:p>
        </w:tc>
        <w:tc>
          <w:tcPr>
            <w:tcW w:type="dxa" w:w="2880"/>
          </w:tcPr>
          <w:p>
            <w:pPr>
              <w:spacing w:before="20" w:after="20"/>
            </w:pPr>
            <w:r>
              <w:rPr>
                <w:rFonts w:ascii="SimSun" w:hAnsi="SimSun" w:eastAsia="SimSun"/>
                <w:sz w:val="17"/>
              </w:rPr>
              <w:t>S5 写"包含可通行路径代价与单站作业耗时的预算"，S6 却以路径代价单独判断可达，实验中 25 m 预算仍执行一站</w:t>
            </w:r>
          </w:p>
        </w:tc>
        <w:tc>
          <w:tcPr>
            <w:tcW w:type="dxa" w:w="2880"/>
          </w:tcPr>
          <w:p>
            <w:pPr>
              <w:spacing w:before="20" w:after="20"/>
            </w:pPr>
            <w:r>
              <w:rPr>
                <w:rFonts w:ascii="SimSun" w:hAnsi="SimSun" w:eastAsia="SimSun"/>
                <w:sz w:val="17"/>
              </w:rPr>
              <w:t>依代码实际行为定稿：</w:t>
            </w:r>
            <w:r>
              <w:rPr>
                <w:rFonts w:ascii="SimSun" w:hAnsi="SimSun" w:eastAsia="SimSun"/>
                <w:b/>
                <w:sz w:val="17"/>
              </w:rPr>
              <w:t>预算为纯可通行路径代价预算（单位：米）</w:t>
            </w:r>
            <w:r>
              <w:rPr>
                <w:rFonts w:ascii="SimSun" w:hAnsi="SimSun" w:eastAsia="SimSun"/>
                <w:sz w:val="17"/>
              </w:rPr>
              <w:t>。单站作业耗时的等效路径代价只出现在权 4 的候选等效成本中，不构成预算的一部分</w:t>
            </w:r>
          </w:p>
        </w:tc>
      </w:tr>
      <w:tr>
        <w:tc>
          <w:tcPr>
            <w:tcW w:type="dxa" w:w="2880"/>
          </w:tcPr>
          <w:p>
            <w:pPr>
              <w:spacing w:before="20" w:after="20"/>
            </w:pPr>
            <w:r>
              <w:rPr>
                <w:rFonts w:ascii="SimSun" w:hAnsi="SimSun" w:eastAsia="SimSun"/>
                <w:b/>
                <w:sz w:val="17"/>
              </w:rPr>
              <w:t>5. 权 4 的边际收益定义</w:t>
            </w:r>
          </w:p>
        </w:tc>
        <w:tc>
          <w:tcPr>
            <w:tcW w:type="dxa" w:w="2880"/>
          </w:tcPr>
          <w:p>
            <w:pPr>
              <w:spacing w:before="20" w:after="20"/>
            </w:pPr>
            <w:r>
              <w:rPr>
                <w:rFonts w:ascii="SimSun" w:hAnsi="SimSun" w:eastAsia="SimSun"/>
                <w:sz w:val="17"/>
              </w:rPr>
              <w:t>写作"新增覆盖的表面分块的任务分数与面积之和"，与说明书的概率型子模覆盖函数不符</w:t>
            </w:r>
          </w:p>
        </w:tc>
        <w:tc>
          <w:tcPr>
            <w:tcW w:type="dxa" w:w="2880"/>
          </w:tcPr>
          <w:p>
            <w:pPr>
              <w:spacing w:before="20" w:after="20"/>
            </w:pPr>
            <w:r>
              <w:rPr>
                <w:rFonts w:ascii="SimSun" w:hAnsi="SimSun" w:eastAsia="SimSun"/>
                <w:sz w:val="17"/>
              </w:rPr>
              <w:t>改为"将该候选加入当前已选站位集合前后集合收益函数的增量"；同时把选择准则本身移入权 4，使其自包含</w:t>
            </w:r>
          </w:p>
        </w:tc>
      </w:tr>
      <w:tr>
        <w:tc>
          <w:tcPr>
            <w:tcW w:type="dxa" w:w="2880"/>
          </w:tcPr>
          <w:p>
            <w:pPr>
              <w:spacing w:before="20" w:after="20"/>
            </w:pPr>
            <w:r>
              <w:rPr>
                <w:rFonts w:ascii="SimSun" w:hAnsi="SimSun" w:eastAsia="SimSun"/>
                <w:b/>
                <w:sz w:val="17"/>
              </w:rPr>
              <w:t>6. "二维半栅格"无定义</w:t>
            </w:r>
          </w:p>
        </w:tc>
        <w:tc>
          <w:tcPr>
            <w:tcW w:type="dxa" w:w="2880"/>
          </w:tcPr>
          <w:p>
            <w:pPr>
              <w:spacing w:before="20" w:after="20"/>
            </w:pPr>
            <w:r>
              <w:rPr>
                <w:rFonts w:ascii="SimSun" w:hAnsi="SimSun" w:eastAsia="SimSun"/>
                <w:sz w:val="17"/>
              </w:rPr>
              <w:t>权 7 使用该词，说明书未定义</w:t>
            </w:r>
          </w:p>
        </w:tc>
        <w:tc>
          <w:tcPr>
            <w:tcW w:type="dxa" w:w="2880"/>
          </w:tcPr>
          <w:p>
            <w:pPr>
              <w:spacing w:before="20" w:after="20"/>
            </w:pPr>
            <w:r>
              <w:rPr>
                <w:rFonts w:ascii="SimSun" w:hAnsi="SimSun" w:eastAsia="SimSun"/>
                <w:sz w:val="17"/>
              </w:rPr>
              <w:t>统一改为"二维栅格"</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