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E 附图绘制说明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配套图件已生成，位于 </w:t>
      </w:r>
      <w:r>
        <w:rPr>
          <w:rFonts w:ascii="Consolas" w:hAnsi="Consolas" w:eastAsia="Consolas"/>
          <w:sz w:val="18"/>
        </w:rPr>
        <w:t>patent_work/figures/</w:t>
      </w:r>
      <w:r>
        <w:rPr>
          <w:rFonts w:ascii="SimSun" w:hAnsi="SimSun" w:eastAsia="SimSun"/>
        </w:rPr>
        <w:t>，每幅同时提供矢量（</w:t>
      </w:r>
      <w:r>
        <w:rPr>
          <w:rFonts w:ascii="Consolas" w:hAnsi="Consolas" w:eastAsia="Consolas"/>
          <w:sz w:val="18"/>
        </w:rPr>
        <w:t>.svg</w:t>
      </w:r>
      <w:r>
        <w:rPr>
          <w:rFonts w:ascii="SimSun" w:hAnsi="SimSun" w:eastAsia="SimSun"/>
        </w:rPr>
        <w:t>，供正式申请稿排版）与位图（</w:t>
      </w:r>
      <w:r>
        <w:rPr>
          <w:rFonts w:ascii="Consolas" w:hAnsi="Consolas" w:eastAsia="Consolas"/>
          <w:sz w:val="18"/>
        </w:rPr>
        <w:t>.png</w:t>
      </w:r>
      <w:r>
        <w:rPr>
          <w:rFonts w:ascii="SimSun" w:hAnsi="SimSun" w:eastAsia="SimSun"/>
        </w:rPr>
        <w:t>，供审阅）。生成脚本可复现：</w:t>
      </w:r>
      <w:r>
        <w:rPr>
          <w:rFonts w:ascii="Consolas" w:hAnsi="Consolas" w:eastAsia="Consolas"/>
          <w:sz w:val="18"/>
        </w:rPr>
        <w:t>patent_work/figures/make_figures.py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总体要求</w:t>
      </w:r>
      <w:r>
        <w:rPr>
          <w:rFonts w:ascii="SimSun" w:hAnsi="SimSun" w:eastAsia="SimSun"/>
        </w:rPr>
        <w:t>：不阅读正文、只看图与图例，应基本知道图表达的关系。图中不出现任何代码路径、提交标识或数值实验结果。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1　总体流程图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总体流程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至 S8 共九个步骤框（S7 拆为 S7a 在线发现模型外遮挡物、S7b 配准可用性判定并标注"可选"）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主数据流自上而下：S1→S2→S3→S4→S5→S6；S6 分别指向 S7a 与 S7b；S7b→S8。回灌两条：S8 沿右侧向上指回 S4（规划用遮挡模型），S8 沿左侧向上指回 S3（缺口证据）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实线箭头＝本轮数据流；虚线箭头＝跨轮回灌。步骤框为圆角矩形白底黑框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每框左端标步骤号（加粗），中部标步骤名称；右侧虚线旁标"规划用遮挡模型回灌"，左侧虚线旁标"缺口证据回灌"；图下方标图例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① 两条回灌必须落在</w:t>
            </w:r>
            <w:r>
              <w:rPr>
                <w:rFonts w:ascii="SimSun" w:hAnsi="SimSun" w:eastAsia="SimSun"/>
                <w:b/>
                <w:sz w:val="17"/>
              </w:rPr>
              <w:t>不同的</w:t>
            </w:r>
            <w:r>
              <w:rPr>
                <w:rFonts w:ascii="SimSun" w:hAnsi="SimSun" w:eastAsia="SimSun"/>
                <w:sz w:val="17"/>
              </w:rPr>
              <w:t>目标步骤（一条回 S4、一条回 S3），画成同一条会掩盖"遮挡模型与缺口证据是两套独立更新"这一关系；② S7b 必须标"可选"，否则会被读成必要步骤；③ 回灌箭头若画成实线，会与本轮数据流混淆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2　可通行空间构建示意图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可通行空间构建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四类构件各一例：构件 A 普通障碍；构件 B 带电构件；构件 C 顶面不大于跨越高度；构件 D 底面净空大于平台高度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构件 D 处一条双向箭头，标注其底面净空与平台高度的比较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实心填充＝障碍栅格；斜线阴影＝带电构件按对地安全距离的追加标记；点线外框＝按平台半径的膨胀；白色＝自由空间；虚线框＝被判为"不标记为障碍"的构件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"构件C 顶面≤跨越高度 不标记为障碍"、"净空&gt;平台高度 不标记为障碍"、"可从下穿行"、"带电体安全距离标记"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① 膨胀外框必须</w:t>
            </w:r>
            <w:r>
              <w:rPr>
                <w:rFonts w:ascii="SimSun" w:hAnsi="SimSun" w:eastAsia="SimSun"/>
                <w:b/>
                <w:sz w:val="17"/>
              </w:rPr>
              <w:t>同时</w:t>
            </w:r>
            <w:r>
              <w:rPr>
                <w:rFonts w:ascii="SimSun" w:hAnsi="SimSun" w:eastAsia="SimSun"/>
                <w:sz w:val="17"/>
              </w:rPr>
              <w:t>包住障碍与安全区，画成只包障碍会误导为"安全区不参与膨胀"；② 构件 C、D 必须用与障碍不同的填充，否则读者无法看出它们不是障碍；③ 三者（障碍/安全区/膨胀）是三种不同性质的标记，不能用同一种阴影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3　候选补充扫描站位与距离层示意图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候选站位与距离层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一个有限长的目标表面分块；其单位法向；三个距离层 d1/d2/d3；保留的候选与被剔除的候选各若干；候选旁的可通行路径代价标注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自分块中部指向法向侧的单箭头，标"法向 n"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粗实线＝目标表面分块；灰带＝距离层（壳带）；虚线＝层中心距离；实心圆＝保留的候选；空心圆＝被剔除的候选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"目标表面分块"、"法向 n"、"距离层 d1/d2/d3"、各候选旁的"ℓ=…"；图下方图例须写明"灰带＝距离层（沿分块整段外扩的壳，非以形心为圆心的同心圆）"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★ 本图最易画错之处</w:t>
            </w:r>
            <w:r>
              <w:rPr>
                <w:rFonts w:ascii="SimSun" w:hAnsi="SimSun" w:eastAsia="SimSun"/>
                <w:sz w:val="17"/>
              </w:rPr>
              <w:t>：距离层</w:t>
            </w:r>
            <w:r>
              <w:rPr>
                <w:rFonts w:ascii="SimSun" w:hAnsi="SimSun" w:eastAsia="SimSun"/>
                <w:b/>
                <w:sz w:val="17"/>
              </w:rPr>
              <w:t>不得</w:t>
            </w:r>
            <w:r>
              <w:rPr>
                <w:rFonts w:ascii="SimSun" w:hAnsi="SimSun" w:eastAsia="SimSun"/>
                <w:sz w:val="17"/>
              </w:rPr>
              <w:t>画成以分块形心为圆心的同心圆。正确画法是"到该分块（作为一条有限长线段／一片有限面）的距离等于 d 的等距轨迹"，其形状为沿分块整段外扩的</w:t>
            </w:r>
            <w:r>
              <w:rPr>
                <w:rFonts w:ascii="SimSun" w:hAnsi="SimSun" w:eastAsia="SimSun"/>
                <w:b/>
                <w:sz w:val="17"/>
              </w:rPr>
              <w:t>壳带</w:t>
            </w:r>
            <w:r>
              <w:rPr>
                <w:rFonts w:ascii="SimSun" w:hAnsi="SimSun" w:eastAsia="SimSun"/>
                <w:sz w:val="17"/>
              </w:rPr>
              <w:t>——在分块正对区域为平行直段，仅在两端为圆弧过渡。画成同心圆会让读者误以为候选只围绕一个点分布，且会给出错误的三维几何直觉。另：距离层只画法向侧，背面无候选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4　在线发现模型外遮挡物示意图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在线发现模型外遮挡物（上：并入发现体素之前；下：并入之后）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上下两幅子图，各含：候选站位、目标表面分块、模型外遮挡物（现场存在）；下幅另含发现体素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自候选站位指向目标表面分块的射线。上幅贯通至分块；下幅在发现体素处终止，终止处画一短粗横杠表示阻断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交叉阴影实体＝模型外遮挡物（现场存在的实物）；点线方格＝发现体素；粗实线段＝目标表面分块；实心圆＝候选站位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上幅："射线在规划用遮挡模型上无阻断 → 预测为可见"；下幅："射线被发现体素阻断 → 预测为不可见"、"点线方格＝发现体素（不携带分块归属，只作遮挡体）"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① 发现体素必须与目标表面分块用</w:t>
            </w:r>
            <w:r>
              <w:rPr>
                <w:rFonts w:ascii="SimSun" w:hAnsi="SimSun" w:eastAsia="SimSun"/>
                <w:b/>
                <w:sz w:val="17"/>
              </w:rPr>
              <w:t>明显不同</w:t>
            </w:r>
            <w:r>
              <w:rPr>
                <w:rFonts w:ascii="SimSun" w:hAnsi="SimSun" w:eastAsia="SimSun"/>
                <w:sz w:val="17"/>
              </w:rPr>
              <w:t>的线型／填充，且必须显式标注"不携带分块归属"——这是"体素只作遮挡体、不作新的待扫目标"这一必要技术特征的唯一图示；② 上幅中现场遮挡物必须画出来（它客观存在，只是不在设计模型里），若上幅不画，读者会以为下幅的体素凭空产生；③ 上下两幅的候选站位与目标分块位置必须完全一致，否则无法对比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5　剩余预算的等代价边界示意图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剩余预算的等代价边界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当前位姿；若干道带门洞的墙体；等代价边界；预算内可达区域；待执行站位若干（均在边界之外）；回退所选候选一个（在边界之内）；作为对照的同代价欧氏圆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一条指引箭头自图例文字指向门洞处，说明边界在此受墙体约束、只能经门洞向右延伸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粗实线＝等代价边界；细虚线＝同代价的欧氏圆（</w:t>
            </w:r>
            <w:r>
              <w:rPr>
                <w:rFonts w:ascii="SimSun" w:hAnsi="SimSun" w:eastAsia="SimSun"/>
                <w:b/>
                <w:sz w:val="17"/>
              </w:rPr>
              <w:t>对照用，非本方案所用</w:t>
            </w:r>
            <w:r>
              <w:rPr>
                <w:rFonts w:ascii="SimSun" w:hAnsi="SimSun" w:eastAsia="SimSun"/>
                <w:sz w:val="17"/>
              </w:rPr>
              <w:t>）；灰区＝剩余预算内可达；实心填充＝障碍；空心三角＝待执行站位；实心圆＝回退所选候选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"当前位姿"、"待执行站位：均在边界之外（剩余预算内不可达）"、"回退所选候选（边界之内，价值最高）"、"门洞：边界受墙体约束，只能经此向右延伸"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★ 本图最易画错之处</w:t>
            </w:r>
            <w:r>
              <w:rPr>
                <w:rFonts w:ascii="SimSun" w:hAnsi="SimSun" w:eastAsia="SimSun"/>
                <w:sz w:val="17"/>
              </w:rPr>
              <w:t>：等代价边界</w:t>
            </w:r>
            <w:r>
              <w:rPr>
                <w:rFonts w:ascii="SimSun" w:hAnsi="SimSun" w:eastAsia="SimSun"/>
                <w:b/>
                <w:sz w:val="17"/>
              </w:rPr>
              <w:t>不得</w:t>
            </w:r>
            <w:r>
              <w:rPr>
                <w:rFonts w:ascii="SimSun" w:hAnsi="SimSun" w:eastAsia="SimSun"/>
                <w:sz w:val="17"/>
              </w:rPr>
              <w:t>画成以当前位姿为圆心的欧氏圆。它是"自当前位姿沿可通行空间的最短路径代价等于剩余预算"的等值线，因此必须：① 在墙体处被截断而非穿墙；② 穿过门洞后在门洞另一侧形成凸出（因为路径必须绕行，同样的代价只能走到更近的直线距离）；③ 与同代价欧氏圆明显不重合。本图中的边界由真实的八邻域最短路距离场计算得到，不是手绘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6　目标表面分块选取示意图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目标表面分块的选取（左：按固定条数截断；右：按构件分组）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左右两幅子图，各含两个大面积构件与九个小尺寸构件；入选目标分块集合的表面分块以星号标出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无箭头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灰底矩形＝构件；★＝入选目标分块集合的表面分块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"大面积构件"、"小尺寸构件"；左幅下方"按固定条数截断：名额被大面积构件占满，小尺寸构件无表面分块入选"；右幅下方"按构件分组、容量随构件数缩放：每一构件均有表面分块入选"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① 左幅中小尺寸构件必须</w:t>
            </w:r>
            <w:r>
              <w:rPr>
                <w:rFonts w:ascii="SimSun" w:hAnsi="SimSun" w:eastAsia="SimSun"/>
                <w:b/>
                <w:sz w:val="17"/>
              </w:rPr>
              <w:t>一个星号都没有</w:t>
            </w:r>
            <w:r>
              <w:rPr>
                <w:rFonts w:ascii="SimSun" w:hAnsi="SimSun" w:eastAsia="SimSun"/>
                <w:sz w:val="17"/>
              </w:rPr>
              <w:t>——这是本图要说明的全部内容，若画上一两个，图与正文（"从未有过任何为其生成的候选视点"）不一致；② 左右两幅的构件位置与数量必须完全一致，否则无法归因于选取规则的差异；③ 星号表示的是"入选目标分块集合的表面分块"，不是候选站位，标签不得混用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附：正式申请稿排版前的检查项</w:t>
      </w:r>
    </w:p>
    <w:p>
      <w:pPr>
        <w:pStyle w:val="ListNumber"/>
        <w:ind w:left="360"/>
      </w:pPr>
      <w:r>
        <w:rPr>
          <w:rFonts w:ascii="SimSun" w:hAnsi="SimSun" w:eastAsia="SimSun"/>
        </w:rPr>
        <w:t>六幅图的中文标注须与说明书用词完全一致（表面分块／候选补充扫描站位／规划用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   遮挡模型／可通行路径代价／待执行站位／失败站位）。</w:t>
      </w:r>
    </w:p>
    <w:p>
      <w:pPr>
        <w:pStyle w:val="ListNumber"/>
        <w:ind w:left="360"/>
      </w:pPr>
      <w:r>
        <w:rPr>
          <w:rFonts w:ascii="SimSun" w:hAnsi="SimSun" w:eastAsia="SimSun"/>
        </w:rPr>
        <w:t>图中不得出现任何数值实验结果、代码路径或提交标识。</w:t>
      </w:r>
    </w:p>
    <w:p>
      <w:pPr>
        <w:pStyle w:val="ListNumber"/>
        <w:ind w:left="360"/>
      </w:pPr>
      <w:r>
        <w:rPr>
          <w:rFonts w:ascii="SimSun" w:hAnsi="SimSun" w:eastAsia="SimSun"/>
        </w:rPr>
        <w:t>若按专利局要求改为黑白线条图，图 2 的三种阴影、图 4 的两种填充、图 5 的灰区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   须改用可区分的线条纹样，且图例同步更新。</w:t>
      </w:r>
    </w:p>
    <w:p>
      <w:pPr>
        <w:pStyle w:val="ListNumber"/>
        <w:ind w:left="360"/>
      </w:pPr>
      <w:r>
        <w:rPr>
          <w:rFonts w:ascii="SimSun" w:hAnsi="SimSun" w:eastAsia="SimSun"/>
        </w:rPr>
        <w:t>图 3 与图 5 的"易错之处"须在交付制图人员时单独强调。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