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权利要求结构：两方案对照与我方建议（</w:t>
      </w:r>
      <w:r>
        <w:rPr/>
        <w:t>2026-07-31</w:t>
      </w:r>
      <w:r>
        <w:rPr/>
        <w:t>）</w:t>
      </w:r>
    </w:p>
    <w:p>
      <w:pPr>
        <w:pStyle w:val="BodyText"/>
        <w:bidi w:val="0"/>
        <w:jc w:val="left"/>
        <w:rPr/>
      </w:pPr>
      <w:r>
        <w:rPr>
          <w:rStyle w:val="Strong"/>
        </w:rPr>
        <w:t>这是本次唯一必须由代理人拍板、我方无法代为决定的事项。</w:t>
      </w:r>
    </w:p>
    <w:p>
      <w:pPr>
        <w:pStyle w:val="BlockQuotation"/>
        <w:bidi w:val="0"/>
        <w:jc w:val="left"/>
        <w:rPr/>
      </w:pPr>
      <w:r>
        <w:rPr>
          <w:rStyle w:val="Strong"/>
        </w:rPr>
        <w:t>【审阅及策略确认稿，非最终定稿】</w:t>
      </w:r>
      <w:r>
        <w:rPr/>
        <w:t xml:space="preserve"> 本次交付为技术答复与权项策略请示。文件中同时保留了合并式与拆分式两套权利要求结构，二者不可并存；请代理人确认采用哪一套后，我方再统一权利要求书与说明书。</w:t>
      </w:r>
    </w:p>
    <w:p>
      <w:pPr>
        <w:pStyle w:val="BodyText"/>
        <w:bidi w:val="0"/>
        <w:jc w:val="left"/>
        <w:rPr/>
      </w:pPr>
      <w:r>
        <w:rPr/>
        <w:t>目前我方交付的文件中同时存在两套结构，二者不可并存，请择一后我方统一其余文件：</w:t>
      </w:r>
    </w:p>
    <w:tbl>
      <w:tblPr>
        <w:tblW w:w="10205" w:type="dxa"/>
        <w:jc w:val="center"/>
        <w:tblInd w:w="0" w:type="dxa"/>
        <w:tblLayout w:type="fixed"/>
        <w:tblCellMar>
          <w:top w:w="28" w:type="dxa"/>
          <w:left w:w="28" w:type="dxa"/>
          <w:bottom w:w="28" w:type="dxa"/>
          <w:right w:w="28" w:type="dxa"/>
        </w:tblCellMar>
      </w:tblPr>
      <w:tblGrid>
        <w:gridCol w:w="1424"/>
        <w:gridCol w:w="4399"/>
        <w:gridCol w:w="5516"/>
      </w:tblGrid>
      <w:tr>
        <w:trPr>
          <w:tblHeader w:val="true"/>
          <w:cantSplit/>
        </w:trPr>
        <w:tc>
          <w:tcPr>
            <w:tcW w:w="2857" w:type="dxa"/>
            <w:tcBorders/>
            <w:vAlign w:val="center"/>
          </w:tcPr>
          <w:p>
            <w:pPr>
              <w:pStyle w:val="TableHeading"/>
              <w:bidi w:val="0"/>
              <w:spacing w:before="0" w:after="283"/>
              <w:rPr>
                <w:sz w:val="4"/>
                <w:szCs w:val="4"/>
              </w:rPr>
            </w:pPr>
            <w:r>
              <w:rPr>
                <w:sz w:val="4"/>
                <w:szCs w:val="4"/>
              </w:rPr>
            </w:r>
          </w:p>
        </w:tc>
        <w:tc>
          <w:tcPr>
            <w:tcW w:w="5307" w:type="dxa"/>
            <w:tcBorders/>
            <w:vAlign w:val="center"/>
          </w:tcPr>
          <w:p>
            <w:pPr>
              <w:pStyle w:val="TableHeading"/>
              <w:suppressLineNumbers/>
              <w:shd w:fill="EEEEEE" w:val="clear"/>
              <w:bidi w:val="0"/>
              <w:spacing w:before="0" w:after="283"/>
              <w:jc w:val="center"/>
              <w:rPr/>
            </w:pPr>
            <w:r>
              <w:rPr/>
              <w:t xml:space="preserve">方案 </w:t>
            </w:r>
            <w:r>
              <w:rPr/>
              <w:t>A</w:t>
            </w:r>
            <w:r>
              <w:rPr/>
              <w:t>（合并式）</w:t>
            </w:r>
          </w:p>
        </w:tc>
        <w:tc>
          <w:tcPr>
            <w:tcW w:w="2041" w:type="dxa"/>
            <w:tcBorders/>
            <w:vAlign w:val="center"/>
          </w:tcPr>
          <w:p>
            <w:pPr>
              <w:pStyle w:val="TableHeading"/>
              <w:suppressLineNumbers/>
              <w:shd w:fill="EEEEEE" w:val="clear"/>
              <w:bidi w:val="0"/>
              <w:spacing w:before="0" w:after="283"/>
              <w:jc w:val="center"/>
              <w:rPr/>
            </w:pPr>
            <w:r>
              <w:rPr/>
              <w:t xml:space="preserve">方案 </w:t>
            </w:r>
            <w:r>
              <w:rPr/>
              <w:t>B</w:t>
            </w:r>
            <w:r>
              <w:rPr/>
              <w:t>（拆分式）</w:t>
            </w:r>
          </w:p>
        </w:tc>
      </w:tr>
      <w:tr>
        <w:trPr>
          <w:cantSplit/>
        </w:trPr>
        <w:tc>
          <w:tcPr>
            <w:tcW w:w="2857" w:type="dxa"/>
            <w:tcBorders/>
            <w:vAlign w:val="center"/>
          </w:tcPr>
          <w:p>
            <w:pPr>
              <w:pStyle w:val="TableContents"/>
              <w:bidi w:val="0"/>
              <w:spacing w:before="0" w:after="283"/>
              <w:jc w:val="left"/>
              <w:rPr/>
            </w:pPr>
            <w:r>
              <w:rPr/>
              <w:t>出处</w:t>
            </w:r>
          </w:p>
        </w:tc>
        <w:tc>
          <w:tcPr>
            <w:tcW w:w="5307" w:type="dxa"/>
            <w:tcBorders/>
            <w:vAlign w:val="center"/>
          </w:tcPr>
          <w:p>
            <w:pPr>
              <w:pStyle w:val="TableContents"/>
              <w:bidi w:val="0"/>
              <w:spacing w:before="0" w:after="283"/>
              <w:jc w:val="left"/>
              <w:rPr/>
            </w:pPr>
            <w:r>
              <w:rPr/>
              <w:t>代理人本次所撰《权利要求</w:t>
            </w:r>
            <w:r>
              <w:rPr/>
              <w:t>1-2</w:t>
            </w:r>
            <w:r>
              <w:rPr/>
              <w:t>》</w:t>
            </w:r>
          </w:p>
        </w:tc>
        <w:tc>
          <w:tcPr>
            <w:tcW w:w="2041" w:type="dxa"/>
            <w:tcBorders/>
            <w:vAlign w:val="center"/>
          </w:tcPr>
          <w:p>
            <w:pPr>
              <w:pStyle w:val="TableContents"/>
              <w:bidi w:val="0"/>
              <w:spacing w:before="0" w:after="283"/>
              <w:jc w:val="left"/>
              <w:rPr/>
            </w:pPr>
            <w:r>
              <w:rPr/>
              <w:t>我方《权利要求书</w:t>
            </w:r>
            <w:r>
              <w:rPr/>
              <w:t>_</w:t>
            </w:r>
            <w:r>
              <w:rPr/>
              <w:t>单独版》《说明书及权利要求书</w:t>
            </w:r>
            <w:r>
              <w:rPr/>
              <w:t>_</w:t>
            </w:r>
            <w:r>
              <w:rPr/>
              <w:t>反馈修订版》</w:t>
            </w:r>
          </w:p>
        </w:tc>
      </w:tr>
      <w:tr>
        <w:trPr>
          <w:cantSplit/>
        </w:trPr>
        <w:tc>
          <w:tcPr>
            <w:tcW w:w="2857" w:type="dxa"/>
            <w:tcBorders/>
            <w:vAlign w:val="center"/>
          </w:tcPr>
          <w:p>
            <w:pPr>
              <w:pStyle w:val="TableContents"/>
              <w:bidi w:val="0"/>
              <w:spacing w:before="0" w:after="283"/>
              <w:jc w:val="left"/>
              <w:rPr/>
            </w:pPr>
            <w:r>
              <w:rPr/>
              <w:t xml:space="preserve">权 </w:t>
            </w:r>
            <w:r>
              <w:rPr/>
              <w:t>1</w:t>
            </w:r>
          </w:p>
        </w:tc>
        <w:tc>
          <w:tcPr>
            <w:tcW w:w="5307" w:type="dxa"/>
            <w:tcBorders/>
            <w:vAlign w:val="center"/>
          </w:tcPr>
          <w:p>
            <w:pPr>
              <w:pStyle w:val="TableContents"/>
              <w:bidi w:val="0"/>
              <w:spacing w:before="0" w:after="283"/>
              <w:jc w:val="left"/>
              <w:rPr/>
            </w:pPr>
            <w:r>
              <w:rPr/>
              <w:t>S1–S10</w:t>
            </w:r>
            <w:r>
              <w:rPr/>
              <w:t xml:space="preserve">：缺口检测 </w:t>
            </w:r>
            <w:r>
              <w:rPr>
                <w:rStyle w:val="Strong"/>
              </w:rPr>
              <w:t>＋</w:t>
            </w:r>
            <w:r>
              <w:rPr/>
              <w:t xml:space="preserve"> 候选位姿生成 </w:t>
            </w:r>
            <w:r>
              <w:rPr>
                <w:rStyle w:val="Strong"/>
              </w:rPr>
              <w:t>＋</w:t>
            </w:r>
            <w:r>
              <w:rPr/>
              <w:t xml:space="preserve"> 位姿价值计算</w:t>
            </w:r>
          </w:p>
        </w:tc>
        <w:tc>
          <w:tcPr>
            <w:tcW w:w="2041" w:type="dxa"/>
            <w:tcBorders/>
            <w:vAlign w:val="center"/>
          </w:tcPr>
          <w:p>
            <w:pPr>
              <w:pStyle w:val="TableContents"/>
              <w:bidi w:val="0"/>
              <w:spacing w:before="0" w:after="283"/>
              <w:jc w:val="left"/>
              <w:rPr/>
            </w:pPr>
            <w:r>
              <w:rPr/>
              <w:t>仅缺口检测，止于</w:t>
            </w:r>
            <w:r>
              <w:rPr/>
              <w:t>"</w:t>
            </w:r>
            <w:r>
              <w:rPr/>
              <w:t>根据缺口分数确定目标表面分块</w:t>
            </w:r>
            <w:r>
              <w:rPr/>
              <w:t>"</w:t>
            </w:r>
          </w:p>
        </w:tc>
      </w:tr>
      <w:tr>
        <w:trPr>
          <w:cantSplit/>
        </w:trPr>
        <w:tc>
          <w:tcPr>
            <w:tcW w:w="2857" w:type="dxa"/>
            <w:tcBorders/>
            <w:vAlign w:val="center"/>
          </w:tcPr>
          <w:p>
            <w:pPr>
              <w:pStyle w:val="TableContents"/>
              <w:bidi w:val="0"/>
              <w:spacing w:before="0" w:after="283"/>
              <w:jc w:val="left"/>
              <w:rPr/>
            </w:pPr>
            <w:r>
              <w:rPr/>
              <w:t xml:space="preserve">权 </w:t>
            </w:r>
            <w:r>
              <w:rPr/>
              <w:t>2</w:t>
            </w:r>
          </w:p>
        </w:tc>
        <w:tc>
          <w:tcPr>
            <w:tcW w:w="5307" w:type="dxa"/>
            <w:tcBorders/>
            <w:vAlign w:val="center"/>
          </w:tcPr>
          <w:p>
            <w:pPr>
              <w:pStyle w:val="TableContents"/>
              <w:bidi w:val="0"/>
              <w:spacing w:before="0" w:after="283"/>
              <w:jc w:val="left"/>
              <w:rPr/>
            </w:pPr>
            <w:r>
              <w:rPr/>
              <w:t>仅闭环更新</w:t>
            </w:r>
          </w:p>
        </w:tc>
        <w:tc>
          <w:tcPr>
            <w:tcW w:w="2041" w:type="dxa"/>
            <w:tcBorders/>
            <w:vAlign w:val="center"/>
          </w:tcPr>
          <w:p>
            <w:pPr>
              <w:pStyle w:val="TableContents"/>
              <w:bidi w:val="0"/>
              <w:spacing w:before="0" w:after="283"/>
              <w:jc w:val="left"/>
              <w:rPr/>
            </w:pPr>
            <w:r>
              <w:rPr/>
              <w:t>补充扫描视点规划（生成候选、算价值、选位姿、闭环）</w:t>
            </w:r>
          </w:p>
        </w:tc>
      </w:tr>
      <w:tr>
        <w:trPr>
          <w:cantSplit/>
        </w:trPr>
        <w:tc>
          <w:tcPr>
            <w:tcW w:w="2857" w:type="dxa"/>
            <w:tcBorders/>
            <w:vAlign w:val="center"/>
          </w:tcPr>
          <w:p>
            <w:pPr>
              <w:pStyle w:val="TableContents"/>
              <w:bidi w:val="0"/>
              <w:spacing w:before="0" w:after="283"/>
              <w:jc w:val="left"/>
              <w:rPr/>
            </w:pPr>
            <w:r>
              <w:rPr/>
              <w:t xml:space="preserve">落入权 </w:t>
            </w:r>
            <w:r>
              <w:rPr/>
              <w:t xml:space="preserve">1 </w:t>
            </w:r>
            <w:r>
              <w:rPr/>
              <w:t>的条件</w:t>
            </w:r>
          </w:p>
        </w:tc>
        <w:tc>
          <w:tcPr>
            <w:tcW w:w="5307" w:type="dxa"/>
            <w:tcBorders/>
            <w:vAlign w:val="center"/>
          </w:tcPr>
          <w:p>
            <w:pPr>
              <w:pStyle w:val="TableContents"/>
              <w:bidi w:val="0"/>
              <w:spacing w:before="0" w:after="283"/>
              <w:jc w:val="left"/>
              <w:rPr/>
            </w:pPr>
            <w:r>
              <w:rPr/>
              <w:t>必须</w:t>
            </w:r>
            <w:r>
              <w:rPr>
                <w:rStyle w:val="Strong"/>
              </w:rPr>
              <w:t>同时</w:t>
            </w:r>
            <w:r>
              <w:rPr/>
              <w:t>实施检测与规划</w:t>
            </w:r>
          </w:p>
        </w:tc>
        <w:tc>
          <w:tcPr>
            <w:tcW w:w="2041" w:type="dxa"/>
            <w:tcBorders/>
            <w:vAlign w:val="center"/>
          </w:tcPr>
          <w:p>
            <w:pPr>
              <w:pStyle w:val="TableContents"/>
              <w:bidi w:val="0"/>
              <w:spacing w:before="0" w:after="283"/>
              <w:jc w:val="left"/>
              <w:rPr/>
            </w:pPr>
            <w:r>
              <w:rPr>
                <w:rStyle w:val="Strong"/>
              </w:rPr>
              <w:t>只做缺口检测</w:t>
            </w:r>
            <w:r>
              <w:rPr/>
              <w:t>即可落入</w:t>
            </w:r>
          </w:p>
        </w:tc>
      </w:tr>
    </w:tbl>
    <w:p>
      <w:pPr>
        <w:pStyle w:val="Heading2"/>
        <w:bidi w:val="0"/>
        <w:jc w:val="left"/>
        <w:rPr/>
      </w:pPr>
      <w:r>
        <w:rPr/>
        <w:t xml:space="preserve">我方建议：采用方案 </w:t>
      </w:r>
      <w:r>
        <w:rPr/>
        <w:t>B</w:t>
      </w:r>
      <w:r>
        <w:rPr/>
        <w:t>（拆分式）</w:t>
      </w:r>
    </w:p>
    <w:p>
      <w:pPr>
        <w:pStyle w:val="BodyText"/>
        <w:bidi w:val="0"/>
        <w:jc w:val="left"/>
        <w:rPr/>
      </w:pPr>
      <w:r>
        <w:rPr/>
        <w:t>理由三条：</w:t>
      </w:r>
    </w:p>
    <w:p>
      <w:pPr>
        <w:pStyle w:val="BodyText"/>
        <w:numPr>
          <w:ilvl w:val="0"/>
          <w:numId w:val="1"/>
        </w:numPr>
        <w:tabs>
          <w:tab w:val="clear" w:pos="1134"/>
          <w:tab w:val="left" w:pos="709" w:leader="none"/>
        </w:tabs>
        <w:bidi w:val="0"/>
        <w:spacing w:before="0" w:after="0"/>
        <w:ind w:hanging="283" w:left="709"/>
        <w:jc w:val="left"/>
        <w:rPr/>
      </w:pPr>
      <w:r>
        <w:rPr>
          <w:rStyle w:val="Strong"/>
        </w:rPr>
        <w:t>保护范围更宽、更有层次。</w:t>
      </w:r>
      <w:r>
        <w:rPr/>
        <w:t xml:space="preserve"> 按方案 </w:t>
      </w:r>
      <w:r>
        <w:rPr/>
        <w:t>A</w:t>
      </w:r>
      <w:r>
        <w:rPr/>
        <w:t>，一个只做</w:t>
      </w:r>
      <w:r>
        <w:rPr/>
        <w:t xml:space="preserve">"IFC </w:t>
      </w:r>
      <w:r>
        <w:rPr/>
        <w:t xml:space="preserve">表面分块 </w:t>
      </w:r>
      <w:r>
        <w:rPr/>
        <w:t xml:space="preserve">+ </w:t>
      </w:r>
      <w:r>
        <w:rPr/>
        <w:t xml:space="preserve">多源证据融合 </w:t>
      </w:r>
      <w:r>
        <w:rPr/>
        <w:t xml:space="preserve">+ </w:t>
      </w:r>
      <w:r>
        <w:rPr/>
        <w:t>缺口定位</w:t>
      </w:r>
      <w:r>
        <w:rPr/>
        <w:t>"</w:t>
      </w:r>
      <w:r>
        <w:rPr/>
        <w:t>而不做视点规划的产品（这恰是本方案最容易被单独实施的部分——缺口诊断可作为独立功能交付），</w:t>
      </w:r>
      <w:r>
        <w:rPr>
          <w:rStyle w:val="Strong"/>
        </w:rPr>
        <w:t xml:space="preserve">不落入权 </w:t>
      </w:r>
      <w:r>
        <w:rPr>
          <w:rStyle w:val="Strong"/>
        </w:rPr>
        <w:t>1</w:t>
      </w:r>
      <w:r>
        <w:rPr/>
        <w:t xml:space="preserve">。按方案 </w:t>
      </w:r>
      <w:r>
        <w:rPr/>
        <w:t>B</w:t>
      </w:r>
      <w:r>
        <w:rPr/>
        <w:t xml:space="preserve">，它落入权 </w:t>
      </w:r>
      <w:r>
        <w:rPr/>
        <w:t>1</w:t>
      </w:r>
      <w:r>
        <w:rPr/>
        <w:t xml:space="preserve">，规划部分再由权 </w:t>
      </w:r>
      <w:r>
        <w:rPr/>
        <w:t xml:space="preserve">2 </w:t>
      </w:r>
      <w:r>
        <w:rPr/>
        <w:t xml:space="preserve">覆盖。 </w:t>
      </w:r>
    </w:p>
    <w:p>
      <w:pPr>
        <w:pStyle w:val="BodyText"/>
        <w:numPr>
          <w:ilvl w:val="0"/>
          <w:numId w:val="1"/>
        </w:numPr>
        <w:tabs>
          <w:tab w:val="clear" w:pos="1134"/>
          <w:tab w:val="left" w:pos="709" w:leader="none"/>
        </w:tabs>
        <w:bidi w:val="0"/>
        <w:spacing w:before="0" w:after="0"/>
        <w:ind w:hanging="283" w:left="709"/>
        <w:jc w:val="left"/>
        <w:rPr/>
      </w:pPr>
      <w:r>
        <w:rPr>
          <w:rStyle w:val="Strong"/>
        </w:rPr>
        <w:t xml:space="preserve">与代理人 </w:t>
      </w:r>
      <w:r>
        <w:rPr>
          <w:rStyle w:val="Strong"/>
        </w:rPr>
        <w:t xml:space="preserve">2026-07-22 </w:t>
      </w:r>
      <w:r>
        <w:rPr>
          <w:rStyle w:val="Strong"/>
        </w:rPr>
        <w:t>的意见一致。</w:t>
      </w:r>
      <w:r>
        <w:rPr/>
        <w:t xml:space="preserve"> </w:t>
      </w:r>
      <w:r>
        <w:rPr/>
        <w:t xml:space="preserve">comment0 </w:t>
      </w:r>
      <w:r>
        <w:rPr/>
        <w:t>原文：</w:t>
      </w:r>
      <w:r>
        <w:rPr>
          <w:rStyle w:val="Emphasis"/>
        </w:rPr>
        <w:t>"</w:t>
      </w:r>
      <w:r>
        <w:rPr>
          <w:rStyle w:val="Emphasis"/>
        </w:rPr>
        <w:t>根据初步检索评估，本案的建筑点云缺口检测方法已经具有一定创造性，因此可以在权利要求</w:t>
      </w:r>
      <w:r>
        <w:rPr>
          <w:rStyle w:val="Emphasis"/>
        </w:rPr>
        <w:t>1</w:t>
      </w:r>
      <w:r>
        <w:rPr>
          <w:rStyle w:val="Emphasis"/>
        </w:rPr>
        <w:t>公开建筑点云缺口检测方法，在从属权利要求中公开补充扫描视点规划方法，这样保护范围更大。</w:t>
      </w:r>
      <w:r>
        <w:rPr>
          <w:rStyle w:val="Emphasis"/>
        </w:rPr>
        <w:t>"</w:t>
      </w:r>
      <w:r>
        <w:rPr/>
        <w:t xml:space="preserve"> </w:t>
      </w:r>
      <w:r>
        <w:rPr/>
        <w:t xml:space="preserve">我方上一轮据此完成了拆分。 </w:t>
      </w:r>
    </w:p>
    <w:p>
      <w:pPr>
        <w:pStyle w:val="BodyText"/>
        <w:numPr>
          <w:ilvl w:val="0"/>
          <w:numId w:val="1"/>
        </w:numPr>
        <w:tabs>
          <w:tab w:val="clear" w:pos="1134"/>
          <w:tab w:val="left" w:pos="709" w:leader="none"/>
        </w:tabs>
        <w:bidi w:val="0"/>
        <w:ind w:hanging="283" w:left="709"/>
        <w:jc w:val="left"/>
        <w:rPr/>
      </w:pPr>
      <w:r>
        <w:rPr>
          <w:rStyle w:val="Strong"/>
        </w:rPr>
        <w:t>说明书已为拆分提供依据。</w:t>
      </w:r>
      <w:r>
        <w:rPr/>
        <w:t xml:space="preserve"> 说明书 </w:t>
      </w:r>
      <w:r>
        <w:rPr/>
        <w:t xml:space="preserve">3.2 </w:t>
      </w:r>
      <w:r>
        <w:rPr/>
        <w:t>明确记载：</w:t>
      </w:r>
      <w:r>
        <w:rPr/>
        <w:t>"</w:t>
      </w:r>
      <w:r>
        <w:rPr/>
        <w:t>自获取</w:t>
      </w:r>
      <w:r>
        <w:rPr/>
        <w:t>IFC</w:t>
      </w:r>
      <w:r>
        <w:rPr/>
        <w:t>模型和对应三维点云起，至根据表面分块缺口分数确定目标表面分块止，构成建筑点云缺口检测过程；该过程</w:t>
      </w:r>
      <w:r>
        <w:rPr>
          <w:rStyle w:val="Strong"/>
        </w:rPr>
        <w:t>独立解决</w:t>
      </w:r>
      <w:r>
        <w:rPr/>
        <w:t>扫描后局部表面缺口难定位的技术问题……</w:t>
      </w:r>
      <w:r>
        <w:rPr>
          <w:rStyle w:val="Strong"/>
        </w:rPr>
        <w:t>可单独实施并单独产生技术效果</w:t>
      </w:r>
      <w:r>
        <w:rPr/>
        <w:t>。</w:t>
      </w:r>
      <w:r>
        <w:rPr/>
        <w:t xml:space="preserve">"3.1 </w:t>
      </w:r>
      <w:r>
        <w:rPr/>
        <w:t>所列技术问题亦分为</w:t>
      </w:r>
      <w:r>
        <w:rPr/>
        <w:t>"</w:t>
      </w:r>
      <w:r>
        <w:rPr/>
        <w:t>缺口难定位</w:t>
      </w:r>
      <w:r>
        <w:rPr/>
        <w:t>"</w:t>
      </w:r>
      <w:r>
        <w:rPr/>
        <w:t>与</w:t>
      </w:r>
      <w:r>
        <w:rPr/>
        <w:t>"</w:t>
      </w:r>
      <w:r>
        <w:rPr/>
        <w:t>补扫位姿难确定</w:t>
      </w:r>
      <w:r>
        <w:rPr/>
        <w:t>"</w:t>
      </w:r>
      <w:r>
        <w:rPr/>
        <w:t xml:space="preserve">两类，与拆分一一对应。 </w:t>
      </w:r>
    </w:p>
    <w:p>
      <w:pPr>
        <w:pStyle w:val="Heading2"/>
        <w:bidi w:val="0"/>
        <w:jc w:val="left"/>
        <w:rPr/>
      </w:pPr>
      <w:r>
        <w:rPr/>
        <w:t xml:space="preserve">若代理人有意采用方案 </w:t>
      </w:r>
      <w:r>
        <w:rPr/>
        <w:t>A</w:t>
      </w:r>
      <w:r>
        <w:rPr/>
        <w:t>，请说明理由</w:t>
      </w:r>
    </w:p>
    <w:p>
      <w:pPr>
        <w:pStyle w:val="BodyText"/>
        <w:bidi w:val="0"/>
        <w:jc w:val="left"/>
        <w:rPr/>
      </w:pPr>
      <w:r>
        <w:rPr/>
        <w:t>我方能想到的合理理由是：</w:t>
      </w:r>
      <w:r>
        <w:rPr>
          <w:rStyle w:val="Strong"/>
        </w:rPr>
        <w:t>为与对比文件区分</w:t>
      </w:r>
      <w:r>
        <w:rPr/>
        <w:t>，有意把检测与规划绑定为一个组合方案以增强创造性论证。若确系此原因，我方无异议——这属于检索与创造性判断的范畴，应由代理人决定。请代理人明确告知，我方将据此统一全部文件。</w:t>
      </w:r>
    </w:p>
    <w:p>
      <w:pPr>
        <w:pStyle w:val="Heading2"/>
        <w:bidi w:val="0"/>
        <w:jc w:val="left"/>
        <w:rPr/>
      </w:pPr>
      <w:r>
        <w:rPr/>
        <w:t>无论选哪一套，以下三点都需一并确认</w:t>
      </w:r>
    </w:p>
    <w:p>
      <w:pPr>
        <w:pStyle w:val="Heading3"/>
        <w:bidi w:val="0"/>
        <w:jc w:val="left"/>
        <w:rPr/>
      </w:pPr>
      <w:r>
        <w:rPr/>
        <w:t>（一）是否补回</w:t>
      </w:r>
      <w:r>
        <w:rPr/>
        <w:t>"</w:t>
      </w:r>
      <w:r>
        <w:rPr/>
        <w:t>构件级点数统计</w:t>
      </w:r>
      <w:r>
        <w:rPr/>
        <w:t>"</w:t>
      </w:r>
      <w:r>
        <w:rPr/>
        <w:t>备用路径</w:t>
      </w:r>
    </w:p>
    <w:p>
      <w:pPr>
        <w:pStyle w:val="BodyText"/>
        <w:bidi w:val="0"/>
        <w:jc w:val="left"/>
        <w:rPr/>
      </w:pPr>
      <w:r>
        <w:rPr/>
        <w:t xml:space="preserve">我方权 </w:t>
      </w:r>
      <w:r>
        <w:rPr/>
        <w:t xml:space="preserve">1 </w:t>
      </w:r>
      <w:r>
        <w:rPr/>
        <w:t>中保留了两条点云关联路径：</w:t>
      </w:r>
    </w:p>
    <w:p>
      <w:pPr>
        <w:pStyle w:val="BodyText"/>
        <w:numPr>
          <w:ilvl w:val="0"/>
          <w:numId w:val="2"/>
        </w:numPr>
        <w:tabs>
          <w:tab w:val="clear" w:pos="1134"/>
          <w:tab w:val="left" w:pos="709" w:leader="none"/>
        </w:tabs>
        <w:bidi w:val="0"/>
        <w:spacing w:before="0" w:after="0"/>
        <w:ind w:hanging="283" w:left="709"/>
        <w:jc w:val="left"/>
        <w:rPr/>
      </w:pPr>
      <w:r>
        <w:rPr>
          <w:rStyle w:val="Strong"/>
        </w:rPr>
        <w:t>主路径</w:t>
      </w:r>
      <w:r>
        <w:rPr/>
        <w:t xml:space="preserve">：点直接匹配到最近三角面，再按所属关系汇总到表面分块； </w:t>
      </w:r>
    </w:p>
    <w:p>
      <w:pPr>
        <w:pStyle w:val="BodyText"/>
        <w:numPr>
          <w:ilvl w:val="0"/>
          <w:numId w:val="2"/>
        </w:numPr>
        <w:tabs>
          <w:tab w:val="clear" w:pos="1134"/>
          <w:tab w:val="left" w:pos="709" w:leader="none"/>
        </w:tabs>
        <w:bidi w:val="0"/>
        <w:ind w:hanging="283" w:left="709"/>
        <w:jc w:val="left"/>
        <w:rPr/>
      </w:pPr>
      <w:r>
        <w:rPr>
          <w:rStyle w:val="Strong"/>
        </w:rPr>
        <w:t>备用路径</w:t>
      </w:r>
      <w:r>
        <w:rPr/>
        <w:t>：当工程数据只能提供构件级点数统计时，按构件内各表面分块的</w:t>
      </w:r>
      <w:r>
        <w:rPr>
          <w:rStyle w:val="Strong"/>
        </w:rPr>
        <w:t>面积比例</w:t>
      </w:r>
      <w:r>
        <w:rPr/>
        <w:t xml:space="preserve">分配（由权 </w:t>
      </w:r>
      <w:r>
        <w:rPr/>
        <w:t xml:space="preserve">7 </w:t>
      </w:r>
      <w:r>
        <w:rPr/>
        <w:t xml:space="preserve">具体化）。 </w:t>
      </w:r>
    </w:p>
    <w:p>
      <w:pPr>
        <w:pStyle w:val="BodyText"/>
        <w:bidi w:val="0"/>
        <w:jc w:val="left"/>
        <w:rPr/>
      </w:pPr>
      <w:r>
        <w:rPr/>
        <w:t xml:space="preserve">代理人本次所撰权 </w:t>
      </w:r>
      <w:r>
        <w:rPr/>
        <w:t xml:space="preserve">1 </w:t>
      </w:r>
      <w:r>
        <w:rPr/>
        <w:t>中只保留了主路径。备用路径对应</w:t>
      </w:r>
      <w:r>
        <w:rPr>
          <w:rStyle w:val="Strong"/>
        </w:rPr>
        <w:t xml:space="preserve">实施例 </w:t>
      </w:r>
      <w:r>
        <w:rPr>
          <w:rStyle w:val="Strong"/>
        </w:rPr>
        <w:t>11</w:t>
      </w:r>
      <w:r>
        <w:rPr>
          <w:rStyle w:val="Strong"/>
        </w:rPr>
        <w:t>（真实室内建筑点云诊断）</w:t>
      </w:r>
      <w:r>
        <w:rPr/>
        <w:t xml:space="preserve">——在只有构件级关联成果、拿不到逐三角面关联结果的工程数据上，这是唯一可行路径。若从权 </w:t>
      </w:r>
      <w:r>
        <w:rPr/>
        <w:t xml:space="preserve">1 </w:t>
      </w:r>
      <w:r>
        <w:rPr/>
        <w:t xml:space="preserve">中去掉，实施例 </w:t>
      </w:r>
      <w:r>
        <w:rPr/>
        <w:t xml:space="preserve">11 </w:t>
      </w:r>
      <w:r>
        <w:rPr/>
        <w:t xml:space="preserve">所对应的实际工程处理方式将不再被权 </w:t>
      </w:r>
      <w:r>
        <w:rPr/>
        <w:t xml:space="preserve">1 </w:t>
      </w:r>
      <w:r>
        <w:rPr/>
        <w:t>覆盖。</w:t>
      </w:r>
    </w:p>
    <w:p>
      <w:pPr>
        <w:pStyle w:val="BodyText"/>
        <w:bidi w:val="0"/>
        <w:jc w:val="left"/>
        <w:rPr/>
      </w:pPr>
      <w:r>
        <w:rPr>
          <w:rStyle w:val="Strong"/>
        </w:rPr>
        <w:t>若决定补回</w:t>
      </w:r>
      <w:r>
        <w:rPr/>
        <w:t xml:space="preserve">，方案 </w:t>
      </w:r>
      <w:r>
        <w:rPr/>
        <w:t xml:space="preserve">A </w:t>
      </w:r>
      <w:r>
        <w:rPr/>
        <w:t xml:space="preserve">的 </w:t>
      </w:r>
      <w:r>
        <w:rPr/>
        <w:t xml:space="preserve">S4 </w:t>
      </w:r>
      <w:r>
        <w:rPr/>
        <w:t>末尾可直接追加（文字已备好）：</w:t>
      </w:r>
    </w:p>
    <w:p>
      <w:pPr>
        <w:pStyle w:val="BlockQuotation"/>
        <w:bidi w:val="0"/>
        <w:jc w:val="left"/>
        <w:rPr/>
      </w:pPr>
      <w:r>
        <w:rPr/>
        <w:t>或者，当仅能获得所述三维点云中的点匹配到各构件的点数统计时，按预设分配关系将该点数统计分配到该构件内的各表面分块；所述预设分配关系为按对应构件内各表面分块的面积比例分配。</w:t>
      </w:r>
    </w:p>
    <w:p>
      <w:pPr>
        <w:pStyle w:val="BodyText"/>
        <w:bidi w:val="0"/>
        <w:jc w:val="left"/>
        <w:rPr/>
      </w:pPr>
      <w:r>
        <w:rPr/>
        <w:t xml:space="preserve">（方案 </w:t>
      </w:r>
      <w:r>
        <w:rPr/>
        <w:t xml:space="preserve">B </w:t>
      </w:r>
      <w:r>
        <w:rPr/>
        <w:t xml:space="preserve">的权 </w:t>
      </w:r>
      <w:r>
        <w:rPr/>
        <w:t xml:space="preserve">1 </w:t>
      </w:r>
      <w:r>
        <w:rPr/>
        <w:t>中该路径已在，无需改动。）</w:t>
      </w:r>
    </w:p>
    <w:p>
      <w:pPr>
        <w:pStyle w:val="Heading3"/>
        <w:bidi w:val="0"/>
        <w:jc w:val="left"/>
        <w:rPr/>
      </w:pPr>
      <w:r>
        <w:rPr/>
        <w:t>（二）是否增设一条从属权利要求承载</w:t>
      </w:r>
      <w:r>
        <w:rPr/>
        <w:t>"</w:t>
      </w:r>
      <w:r>
        <w:rPr/>
        <w:t>预设的确定性规则</w:t>
      </w:r>
      <w:r>
        <w:rPr/>
        <w:t>"</w:t>
      </w:r>
    </w:p>
    <w:p>
      <w:pPr>
        <w:pStyle w:val="BodyText"/>
        <w:bidi w:val="0"/>
        <w:jc w:val="left"/>
        <w:rPr/>
      </w:pPr>
      <w:r>
        <w:rPr/>
        <w:t>我方权利要求书中，</w:t>
      </w:r>
      <w:r>
        <w:rPr/>
        <w:t>"</w:t>
      </w:r>
      <w:r>
        <w:rPr/>
        <w:t>预设分配关系</w:t>
      </w:r>
      <w:r>
        <w:rPr/>
        <w:t>"</w:t>
      </w:r>
      <w:r>
        <w:rPr/>
        <w:t xml:space="preserve">由权 </w:t>
      </w:r>
      <w:r>
        <w:rPr/>
        <w:t xml:space="preserve">7 </w:t>
      </w:r>
      <w:r>
        <w:rPr/>
        <w:t>具体化、</w:t>
      </w:r>
      <w:r>
        <w:rPr/>
        <w:t>"</w:t>
      </w:r>
      <w:r>
        <w:rPr/>
        <w:t>法向约束</w:t>
      </w:r>
      <w:r>
        <w:rPr/>
        <w:t>"</w:t>
      </w:r>
      <w:r>
        <w:rPr/>
        <w:t xml:space="preserve">由权 </w:t>
      </w:r>
      <w:r>
        <w:rPr/>
        <w:t xml:space="preserve">4 </w:t>
      </w:r>
      <w:r>
        <w:rPr/>
        <w:t>具体化、</w:t>
      </w:r>
      <w:r>
        <w:rPr/>
        <w:t>"</w:t>
      </w:r>
      <w:r>
        <w:rPr/>
        <w:t>预设清晰冲突</w:t>
      </w:r>
      <w:r>
        <w:rPr/>
        <w:t>"</w:t>
      </w:r>
      <w:r>
        <w:rPr/>
        <w:t xml:space="preserve">由权 </w:t>
      </w:r>
      <w:r>
        <w:rPr/>
        <w:t xml:space="preserve">11 </w:t>
      </w:r>
      <w:r>
        <w:rPr/>
        <w:t>具体化，唯独新引入的</w:t>
      </w:r>
      <w:r>
        <w:rPr/>
        <w:t>"</w:t>
      </w:r>
      <w:r>
        <w:rPr/>
        <w:t>预设的确定性规则</w:t>
      </w:r>
      <w:r>
        <w:rPr/>
        <w:t>"</w:t>
      </w:r>
      <w:r>
        <w:rPr/>
        <w:t xml:space="preserve">目前只有上位表述。说明书已完整记载具体规则，故《专利法》第 </w:t>
      </w:r>
      <w:r>
        <w:rPr/>
        <w:t xml:space="preserve">26 </w:t>
      </w:r>
      <w:r>
        <w:rPr/>
        <w:t xml:space="preserve">条第 </w:t>
      </w:r>
      <w:r>
        <w:rPr/>
        <w:t xml:space="preserve">4 </w:t>
      </w:r>
      <w:r>
        <w:rPr/>
        <w:t>款</w:t>
      </w:r>
      <w:r>
        <w:rPr/>
        <w:t>"</w:t>
      </w:r>
      <w:r>
        <w:rPr/>
        <w:t>以说明书为依据</w:t>
      </w:r>
      <w:r>
        <w:rPr/>
        <w:t>"</w:t>
      </w:r>
      <w:r>
        <w:rPr/>
        <w:t>没有问题；是否再设从属权属权项布局与费用的取舍，请代理人定夺。备好的条文：</w:t>
      </w:r>
    </w:p>
    <w:p>
      <w:pPr>
        <w:pStyle w:val="BlockQuotation"/>
        <w:bidi w:val="0"/>
        <w:jc w:val="left"/>
        <w:rPr/>
      </w:pPr>
      <w:r>
        <w:rPr/>
        <w:t xml:space="preserve">根据权利要求 </w:t>
      </w:r>
      <w:r>
        <w:rPr/>
        <w:t xml:space="preserve">1 </w:t>
      </w:r>
      <w:r>
        <w:rPr/>
        <w:t>所述的方法，其特征在于，所述预设的确定性规则为：对每个所述最近三角面候选，计算由该三角面上取得所述最近距离的表面点指向所述点的方向与该三角面法向所成夹角的余弦的绝对值，选取该绝对值最大者；当所述绝对值相同或所述方向无定义时，将各候选三角面的三个顶点坐标分别按字典序排序，选取所得坐标序列在字典序上最小者。</w:t>
      </w:r>
    </w:p>
    <w:p>
      <w:pPr>
        <w:pStyle w:val="Heading3"/>
        <w:bidi w:val="0"/>
        <w:jc w:val="left"/>
        <w:rPr/>
      </w:pPr>
      <w:r>
        <w:rPr/>
        <w:t>（三）数值容差是否写入权利要求</w:t>
      </w:r>
    </w:p>
    <w:p>
      <w:pPr>
        <w:pStyle w:val="BodyText"/>
        <w:bidi w:val="0"/>
        <w:spacing w:before="0" w:after="283"/>
        <w:jc w:val="left"/>
        <w:rPr/>
      </w:pPr>
      <w:r>
        <w:rPr/>
        <w:t xml:space="preserve">修订稿 </w:t>
      </w:r>
      <w:r>
        <w:rPr>
          <w:rStyle w:val="Strong"/>
        </w:rPr>
        <w:t>S3</w:t>
      </w:r>
      <w:r>
        <w:rPr/>
        <w:t xml:space="preserve"> </w:t>
      </w:r>
      <w:r>
        <w:rPr/>
        <w:t>已写入</w:t>
      </w:r>
      <w:r>
        <w:rPr/>
        <w:t>"</w:t>
      </w:r>
      <w:r>
        <w:rPr/>
        <w:t>将到该点的距离与所述最近距离之差不大于预设数值容差的一个或多个三角面确定为该点的最近三角面候选</w:t>
      </w:r>
      <w:r>
        <w:rPr/>
        <w:t>"——</w:t>
      </w:r>
      <w:r>
        <w:rPr/>
        <w:t xml:space="preserve">容差用于圈定候选集，而非在择一时事后补救，这与实际代码逻辑 </w:t>
      </w:r>
      <w:r>
        <w:rPr/>
        <w:t xml:space="preserve">d(x,t) ≤ d_min(x) + ε </w:t>
      </w:r>
      <w:r>
        <w:rPr/>
        <w:t>一致。写入权利要求的好处是使</w:t>
      </w:r>
      <w:r>
        <w:rPr/>
        <w:t>"</w:t>
      </w:r>
      <w:r>
        <w:rPr/>
        <w:t>相同</w:t>
      </w:r>
      <w:r>
        <w:rPr/>
        <w:t>"</w:t>
      </w:r>
      <w:r>
        <w:rPr/>
        <w:t xml:space="preserve">可判定；若代理人认为权 </w:t>
      </w:r>
      <w:r>
        <w:rPr/>
        <w:t xml:space="preserve">1 </w:t>
      </w:r>
      <w:r>
        <w:rPr/>
        <w:t xml:space="preserve">不宜出现容差，可移入说明书（说明书已记载，并给出具体实施值 </w:t>
      </w:r>
      <w:r>
        <w:rPr/>
        <w:t xml:space="preserve">1×10⁻⁶ </w:t>
      </w:r>
      <w:r>
        <w:rPr/>
        <w:t>米）。</w:t>
      </w:r>
      <w:r>
        <w:rPr>
          <w:rStyle w:val="Strong"/>
        </w:rPr>
        <w:t>该项已有实测依据</w:t>
      </w:r>
      <w:r>
        <w:rPr/>
        <w:t xml:space="preserve">：真实 </w:t>
      </w:r>
      <w:r>
        <w:rPr/>
        <w:t xml:space="preserve">IFC </w:t>
      </w:r>
      <w:r>
        <w:rPr/>
        <w:t>网格（</w:t>
      </w:r>
      <w:r>
        <w:rPr/>
        <w:t xml:space="preserve">1,197,750 </w:t>
      </w:r>
      <w:r>
        <w:rPr/>
        <w:t xml:space="preserve">个三角面）上，同一点由单精度后端与双精度闭式解算得的最近距离最大相差 </w:t>
      </w:r>
      <w:r>
        <w:rPr/>
        <w:t xml:space="preserve">6.0×10⁻⁷ </w:t>
      </w:r>
      <w:r>
        <w:rPr/>
        <w:t>米；若按严格相等判定，确定性规则在实际数据上</w:t>
      </w:r>
      <w:r>
        <w:rPr>
          <w:rStyle w:val="Strong"/>
        </w:rPr>
        <w:t>几乎不会被触发</w:t>
      </w:r>
      <w:r>
        <w:rPr/>
        <w: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ans CJK SC">
    <w:altName w:val="SimSun"/>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Noto Sans CJK SC;SimSun;sans-serif" w:hAnsi="Noto Sans CJK SC;SimSun;sans-serif" w:eastAsia="Noto Sans CJK SC;SimSun;sans-serif" w:cs="Noto Sans CJK SC;SimSun;sans-serif"/>
      <w:color w:val="auto"/>
      <w:sz w:val="22"/>
      <w:szCs w:val="22"/>
      <w:lang w:val="en-US" w:eastAsia="zh-CN" w:bidi="hi-IN"/>
    </w:rPr>
  </w:style>
  <w:style w:type="paragraph" w:styleId="Heading1">
    <w:name w:val="heading 1"/>
    <w:basedOn w:val="Heading"/>
    <w:next w:val="BodyText"/>
    <w:qFormat/>
    <w:pPr/>
    <w:rPr>
      <w:b/>
      <w:bCs/>
      <w:sz w:val="36"/>
      <w:szCs w:val="36"/>
    </w:rPr>
  </w:style>
  <w:style w:type="paragraph" w:styleId="Heading2">
    <w:name w:val="heading 2"/>
    <w:basedOn w:val="Heading"/>
    <w:next w:val="BodyText"/>
    <w:qFormat/>
    <w:pPr>
      <w:spacing w:before="360" w:after="120"/>
      <w:outlineLvl w:val="1"/>
    </w:pPr>
    <w:rPr>
      <w:rFonts w:ascii="Liberation Serif" w:hAnsi="Liberation Serif" w:eastAsia="Noto Serif CJK SC" w:cs="Lohit Devanagari"/>
      <w:b/>
      <w:bCs/>
      <w:sz w:val="28"/>
      <w:szCs w:val="28"/>
    </w:rPr>
  </w:style>
  <w:style w:type="paragraph" w:styleId="Heading3">
    <w:name w:val="heading 3"/>
    <w:basedOn w:val="Heading"/>
    <w:next w:val="BodyText"/>
    <w:qFormat/>
    <w:pPr>
      <w:spacing w:before="280" w:after="120"/>
      <w:outlineLvl w:val="2"/>
    </w:pPr>
    <w:rPr>
      <w:rFonts w:ascii="Liberation Serif" w:hAnsi="Liberation Serif" w:eastAsia="Noto Serif CJK SC" w:cs="Lohit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0"/>
      <w:szCs w:val="20"/>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0" w:after="283"/>
      <w:ind w:hanging="0" w:left="567" w:right="567"/>
    </w:pPr>
    <w:rPr/>
  </w:style>
  <w:style w:type="paragraph" w:styleId="TableHeading">
    <w:name w:val="Table Heading"/>
    <w:basedOn w:val="TableContents"/>
    <w:qFormat/>
    <w:pPr>
      <w:suppressLineNumbers/>
      <w:shd w:fill="EEEEEE" w:val="clear"/>
      <w:jc w:val="center"/>
    </w:pPr>
    <w:rPr>
      <w:b/>
      <w:b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