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before="200" w:after="80"/>
      </w:pPr>
      <w:r>
        <w:rPr>
          <w:rFonts w:ascii="SimHei" w:hAnsi="SimHei" w:eastAsia="SimHei"/>
          <w:color w:val="000000"/>
          <w:sz w:val="32"/>
        </w:rPr>
        <w:t>00C 结论摘要</w:t>
      </w:r>
    </w:p>
    <w:p>
      <w:pPr>
        <w:spacing w:after="80"/>
        <w:jc w:val="both"/>
      </w:pPr>
      <w:r>
        <w:rPr>
          <w:rFonts w:ascii="SimSun" w:hAnsi="SimSun" w:eastAsia="SimSun"/>
          <w:b/>
        </w:rPr>
        <w:t>四页读完全部结论。</w:t>
      </w:r>
      <w:r>
        <w:rPr>
          <w:rFonts w:ascii="SimSun" w:hAnsi="SimSun" w:eastAsia="SimSun"/>
        </w:rPr>
        <w:t xml:space="preserve"> 术语见 </w:t>
      </w:r>
      <w:r>
        <w:rPr>
          <w:rFonts w:ascii="Consolas" w:hAnsi="Consolas" w:eastAsia="Consolas"/>
          <w:sz w:val="18"/>
        </w:rPr>
        <w:t>00B_术语与指标详解.md</w:t>
      </w:r>
      <w:r>
        <w:rPr>
          <w:rFonts w:ascii="SimSun" w:hAnsi="SimSun" w:eastAsia="SimSun"/>
        </w:rPr>
        <w:t>，逐项证据见 01–08。</w:t>
      </w:r>
    </w:p>
    <w:p>
      <w:pPr>
        <w:spacing w:after="80"/>
        <w:jc w:val="both"/>
      </w:pPr>
      <w:r>
        <w:rPr>
          <w:rFonts w:ascii="SimSun" w:hAnsi="SimSun" w:eastAsia="SimSun"/>
        </w:rPr>
        <w:t xml:space="preserve">全部数据产自 git commit </w:t>
      </w:r>
      <w:r>
        <w:rPr>
          <w:rFonts w:ascii="SimSun" w:hAnsi="SimSun" w:eastAsia="SimSun"/>
          <w:b/>
        </w:rPr>
        <w:t>`5116dae`</w:t>
      </w:r>
      <w:r>
        <w:rPr>
          <w:rFonts w:ascii="SimSun" w:hAnsi="SimSun" w:eastAsia="SimSun"/>
        </w:rPr>
        <w:t>：E7 共 240 次运行、E8 共 144 次运行，无一失败，</w:t>
      </w:r>
      <w:r>
        <w:rPr>
          <w:rFonts w:ascii="Consolas" w:hAnsi="Consolas" w:eastAsia="Consolas"/>
          <w:sz w:val="18"/>
        </w:rPr>
        <w:t>git_commit</w:t>
      </w:r>
      <w:r>
        <w:rPr>
          <w:rFonts w:ascii="SimSun" w:hAnsi="SimSun" w:eastAsia="SimSun"/>
        </w:rPr>
        <w:t xml:space="preserve"> 字段为单一值；抽 3 格重跑与盘上结果逐位一致；测试 125 通过。</w:t>
      </w:r>
    </w:p>
    <w:p>
      <w:pPr>
        <w:pStyle w:val="Heading2"/>
        <w:spacing w:before="200" w:after="80"/>
      </w:pPr>
      <w:r>
        <w:rPr>
          <w:rFonts w:ascii="SimHei" w:hAnsi="SimHei" w:eastAsia="SimHei"/>
          <w:color w:val="000000"/>
          <w:sz w:val="27"/>
        </w:rPr>
        <w:t>一、合作方提的是什么问题</w:t>
      </w:r>
    </w:p>
    <w:p>
      <w:pPr>
        <w:ind w:left="360"/>
      </w:pPr>
      <w:r>
        <w:rPr>
          <w:rFonts w:ascii="SimSun" w:hAnsi="SimSun" w:eastAsia="SimSun"/>
          <w:i/>
        </w:rPr>
        <w:t>测试场景给了规划器过强的几何先验。</w:t>
      </w:r>
    </w:p>
    <w:p>
      <w:pPr>
        <w:spacing w:after="80"/>
        <w:jc w:val="both"/>
      </w:pPr>
      <w:r>
        <w:rPr>
          <w:rFonts w:ascii="SimSun" w:hAnsi="SimSun" w:eastAsia="SimSun"/>
        </w:rPr>
        <w:t>具体说：规划器在执行第一站之前，就已经知道现场每一个障碍物在哪里 —— 因为它的可通行地图和视线遮挡模型，都是直接把设计模型整个栅格化 / 求交得来的。真实竣工测量现场不具备这个条件。</w:t>
      </w:r>
    </w:p>
    <w:p>
      <w:pPr>
        <w:spacing w:after="80"/>
        <w:jc w:val="both"/>
      </w:pPr>
      <w:r>
        <w:rPr>
          <w:rFonts w:ascii="SimSun" w:hAnsi="SimSun" w:eastAsia="SimSun"/>
          <w:b/>
        </w:rPr>
        <w:t>这个意见成立。而且逐行核对代码后发现，实际存在的是三处，不是一处。</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spacing w:before="20" w:after="20"/>
            </w:pPr>
            <w:r>
              <w:rPr>
                <w:rFonts w:ascii="SimSun" w:hAnsi="SimSun" w:eastAsia="SimSun"/>
                <w:b/>
                <w:sz w:val="17"/>
              </w:rPr>
              <w:t>#</w:t>
            </w:r>
          </w:p>
        </w:tc>
        <w:tc>
          <w:tcPr>
            <w:tcW w:type="dxa" w:w="2880"/>
          </w:tcPr>
          <w:p>
            <w:pPr>
              <w:spacing w:before="20" w:after="20"/>
            </w:pPr>
            <w:r>
              <w:rPr>
                <w:rFonts w:ascii="SimSun" w:hAnsi="SimSun" w:eastAsia="SimSun"/>
                <w:b/>
                <w:sz w:val="17"/>
              </w:rPr>
              <w:t>过强之处</w:t>
            </w:r>
          </w:p>
        </w:tc>
        <w:tc>
          <w:tcPr>
            <w:tcW w:type="dxa" w:w="2880"/>
          </w:tcPr>
          <w:p>
            <w:pPr>
              <w:spacing w:before="20" w:after="20"/>
            </w:pPr>
            <w:r>
              <w:rPr>
                <w:rFonts w:ascii="SimSun" w:hAnsi="SimSun" w:eastAsia="SimSun"/>
                <w:b/>
                <w:sz w:val="17"/>
              </w:rPr>
              <w:t>谁发现的</w:t>
            </w:r>
          </w:p>
        </w:tc>
      </w:tr>
      <w:tr>
        <w:tc>
          <w:tcPr>
            <w:tcW w:type="dxa" w:w="2880"/>
          </w:tcPr>
          <w:p>
            <w:pPr>
              <w:spacing w:before="20" w:after="20"/>
            </w:pPr>
            <w:r>
              <w:rPr>
                <w:rFonts w:ascii="SimSun" w:hAnsi="SimSun" w:eastAsia="SimSun"/>
                <w:sz w:val="17"/>
              </w:rPr>
              <w:t>1</w:t>
            </w:r>
          </w:p>
        </w:tc>
        <w:tc>
          <w:tcPr>
            <w:tcW w:type="dxa" w:w="2880"/>
          </w:tcPr>
          <w:p>
            <w:pPr>
              <w:spacing w:before="20" w:after="20"/>
            </w:pPr>
            <w:r>
              <w:rPr>
                <w:rFonts w:ascii="SimSun" w:hAnsi="SimSun" w:eastAsia="SimSun"/>
                <w:sz w:val="17"/>
              </w:rPr>
              <w:t>可通行空间由完整模型全部构件生成，且</w:t>
            </w:r>
            <w:r>
              <w:rPr>
                <w:rFonts w:ascii="SimSun" w:hAnsi="SimSun" w:eastAsia="SimSun"/>
                <w:b/>
                <w:sz w:val="17"/>
              </w:rPr>
              <w:t>在整个闭环中从不更新</w:t>
            </w:r>
          </w:p>
        </w:tc>
        <w:tc>
          <w:tcPr>
            <w:tcW w:type="dxa" w:w="2880"/>
          </w:tcPr>
          <w:p>
            <w:pPr>
              <w:spacing w:before="20" w:after="20"/>
            </w:pPr>
            <w:r>
              <w:rPr>
                <w:rFonts w:ascii="SimSun" w:hAnsi="SimSun" w:eastAsia="SimSun"/>
                <w:sz w:val="17"/>
              </w:rPr>
              <w:t>合作方</w:t>
            </w:r>
          </w:p>
        </w:tc>
      </w:tr>
      <w:tr>
        <w:tc>
          <w:tcPr>
            <w:tcW w:type="dxa" w:w="2880"/>
          </w:tcPr>
          <w:p>
            <w:pPr>
              <w:spacing w:before="20" w:after="20"/>
            </w:pPr>
            <w:r>
              <w:rPr>
                <w:rFonts w:ascii="SimSun" w:hAnsi="SimSun" w:eastAsia="SimSun"/>
                <w:sz w:val="17"/>
              </w:rPr>
              <w:t>2</w:t>
            </w:r>
          </w:p>
        </w:tc>
        <w:tc>
          <w:tcPr>
            <w:tcW w:type="dxa" w:w="2880"/>
          </w:tcPr>
          <w:p>
            <w:pPr>
              <w:spacing w:before="20" w:after="20"/>
            </w:pPr>
            <w:r>
              <w:rPr>
                <w:rFonts w:ascii="SimSun" w:hAnsi="SimSun" w:eastAsia="SimSun"/>
                <w:sz w:val="17"/>
              </w:rPr>
              <w:t>可见性求交所用几何，与评测所用几何</w:t>
            </w:r>
            <w:r>
              <w:rPr>
                <w:rFonts w:ascii="SimSun" w:hAnsi="SimSun" w:eastAsia="SimSun"/>
                <w:b/>
                <w:sz w:val="17"/>
              </w:rPr>
              <w:t>是同一份</w:t>
            </w:r>
          </w:p>
        </w:tc>
        <w:tc>
          <w:tcPr>
            <w:tcW w:type="dxa" w:w="2880"/>
          </w:tcPr>
          <w:p>
            <w:pPr>
              <w:spacing w:before="20" w:after="20"/>
            </w:pPr>
            <w:r>
              <w:rPr>
                <w:rFonts w:ascii="SimSun" w:hAnsi="SimSun" w:eastAsia="SimSun"/>
                <w:sz w:val="17"/>
              </w:rPr>
              <w:t>合作方</w:t>
            </w:r>
          </w:p>
        </w:tc>
      </w:tr>
      <w:tr>
        <w:tc>
          <w:tcPr>
            <w:tcW w:type="dxa" w:w="2880"/>
          </w:tcPr>
          <w:p>
            <w:pPr>
              <w:spacing w:before="20" w:after="20"/>
            </w:pPr>
            <w:r>
              <w:rPr>
                <w:rFonts w:ascii="SimSun" w:hAnsi="SimSun" w:eastAsia="SimSun"/>
                <w:sz w:val="17"/>
              </w:rPr>
              <w:t>3</w:t>
            </w:r>
          </w:p>
        </w:tc>
        <w:tc>
          <w:tcPr>
            <w:tcW w:type="dxa" w:w="2880"/>
          </w:tcPr>
          <w:p>
            <w:pPr>
              <w:spacing w:before="20" w:after="20"/>
            </w:pPr>
            <w:r>
              <w:rPr>
                <w:rFonts w:ascii="SimSun" w:hAnsi="SimSun" w:eastAsia="SimSun"/>
                <w:sz w:val="17"/>
              </w:rPr>
              <w:t>建可通行图时</w:t>
            </w:r>
            <w:r>
              <w:rPr>
                <w:rFonts w:ascii="SimSun" w:hAnsi="SimSun" w:eastAsia="SimSun"/>
                <w:b/>
                <w:sz w:val="17"/>
              </w:rPr>
              <w:t>不区分构件是否存在于设计模型</w:t>
            </w:r>
            <w:r>
              <w:rPr>
                <w:rFonts w:ascii="SimSun" w:hAnsi="SimSun" w:eastAsia="SimSun"/>
                <w:sz w:val="17"/>
              </w:rPr>
              <w:t xml:space="preserve"> —— 规划器绕开了一批设计模型里根本查不到的施工车辆、料堆</w:t>
            </w:r>
          </w:p>
        </w:tc>
        <w:tc>
          <w:tcPr>
            <w:tcW w:type="dxa" w:w="2880"/>
          </w:tcPr>
          <w:p>
            <w:pPr>
              <w:spacing w:before="20" w:after="20"/>
            </w:pPr>
            <w:r>
              <w:rPr>
                <w:rFonts w:ascii="SimSun" w:hAnsi="SimSun" w:eastAsia="SimSun"/>
                <w:b/>
                <w:sz w:val="17"/>
              </w:rPr>
              <w:t>我们自查发现</w:t>
            </w:r>
          </w:p>
        </w:tc>
      </w:tr>
    </w:tbl>
    <w:p/>
    <w:p>
      <w:pPr>
        <w:spacing w:after="80"/>
        <w:jc w:val="both"/>
      </w:pPr>
      <w:r>
        <w:rPr>
          <w:rFonts w:ascii="SimSun" w:hAnsi="SimSun" w:eastAsia="SimSun"/>
        </w:rPr>
        <w:t>第 3 条是严格意义上的 oracle leakage：规划器避开了它不可能知道位置的东西。</w:t>
      </w:r>
    </w:p>
    <w:p>
      <w:pPr>
        <w:pStyle w:val="Heading2"/>
        <w:spacing w:before="200" w:after="80"/>
      </w:pPr>
      <w:r>
        <w:rPr>
          <w:rFonts w:ascii="SimHei" w:hAnsi="SimHei" w:eastAsia="SimHei"/>
          <w:color w:val="000000"/>
          <w:sz w:val="27"/>
        </w:rPr>
        <w:t>二、改了什么（一句话）</w:t>
      </w:r>
    </w:p>
    <w:p>
      <w:pPr>
        <w:ind w:left="360"/>
      </w:pPr>
      <w:r>
        <w:rPr>
          <w:rFonts w:ascii="SimSun" w:hAnsi="SimSun" w:eastAsia="SimSun"/>
          <w:i/>
        </w:rPr>
        <w:t>把原来的</w:t>
      </w:r>
      <w:r>
        <w:rPr>
          <w:rFonts w:ascii="SimSun" w:hAnsi="SimSun" w:eastAsia="SimSun"/>
          <w:b/>
          <w:i/>
        </w:rPr>
        <w:t>一份</w:t>
      </w:r>
      <w:r>
        <w:rPr>
          <w:rFonts w:ascii="SimSun" w:hAnsi="SimSun" w:eastAsia="SimSun"/>
          <w:i/>
        </w:rPr>
        <w:t>模型拆成</w:t>
      </w:r>
      <w:r>
        <w:rPr>
          <w:rFonts w:ascii="SimSun" w:hAnsi="SimSun" w:eastAsia="SimSun"/>
          <w:b/>
          <w:i/>
        </w:rPr>
        <w:t>两份</w:t>
      </w:r>
      <w:r>
        <w:rPr>
          <w:rFonts w:ascii="SimSun" w:hAnsi="SimSun" w:eastAsia="SimSun"/>
          <w:i/>
        </w:rPr>
        <w:t>：</w:t>
      </w:r>
    </w:p>
    <w:p>
      <w:pPr>
        <w:ind w:left="360"/>
      </w:pPr>
      <w:r>
        <w:rPr>
          <w:rFonts w:ascii="SimSun" w:hAnsi="SimSun" w:eastAsia="SimSun"/>
          <w:b/>
          <w:i/>
        </w:rPr>
        <w:t>目标参考模型</w:t>
      </w:r>
      <w:r>
        <w:rPr>
          <w:rFonts w:ascii="SimSun" w:hAnsi="SimSun" w:eastAsia="SimSun"/>
          <w:i/>
        </w:rPr>
        <w:t>只回答"要检查什么"；</w:t>
      </w:r>
    </w:p>
    <w:p>
      <w:pPr>
        <w:ind w:left="360"/>
      </w:pPr>
      <w:r>
        <w:rPr>
          <w:rFonts w:ascii="SimSun" w:hAnsi="SimSun" w:eastAsia="SimSun"/>
          <w:b/>
          <w:i/>
        </w:rPr>
        <w:t>规划环境模型</w:t>
      </w:r>
      <w:r>
        <w:rPr>
          <w:rFonts w:ascii="SimSun" w:hAnsi="SimSun" w:eastAsia="SimSun"/>
          <w:i/>
        </w:rPr>
        <w:t>回答"现场哪里被占据、什么挡住视线"，由实测点云建立并逐轮更新。</w:t>
      </w:r>
    </w:p>
    <w:p>
      <w:pPr>
        <w:spacing w:after="80"/>
        <w:jc w:val="both"/>
      </w:pPr>
      <w:r>
        <w:rPr>
          <w:rFonts w:ascii="SimSun" w:hAnsi="SimSun" w:eastAsia="SimSun"/>
        </w:rPr>
        <w:t>公式 (26)–(45) 的实现</w:t>
      </w:r>
      <w:r>
        <w:rPr>
          <w:rFonts w:ascii="SimSun" w:hAnsi="SimSun" w:eastAsia="SimSun"/>
          <w:b/>
        </w:rPr>
        <w:t>一行未动</w:t>
      </w:r>
      <w:r>
        <w:rPr>
          <w:rFonts w:ascii="SimSun" w:hAnsi="SimSun" w:eastAsia="SimSun"/>
        </w:rPr>
        <w:t>。S1（目标分块与缺口证据）、S3（候选生成）、S5（集合选择）的算法逻辑</w:t>
      </w:r>
      <w:r>
        <w:rPr>
          <w:rFonts w:ascii="SimSun" w:hAnsi="SimSun" w:eastAsia="SimSun"/>
          <w:b/>
        </w:rPr>
        <w:t>未动</w:t>
      </w:r>
      <w:r>
        <w:rPr>
          <w:rFonts w:ascii="SimSun" w:hAnsi="SimSun" w:eastAsia="SimSun"/>
        </w:rPr>
        <w:t>。改动集中在两处："可通行空间从哪来"和"可见性对哪份几何求交"。</w:t>
      </w:r>
    </w:p>
    <w:p>
      <w:pPr>
        <w:pStyle w:val="Heading2"/>
        <w:spacing w:before="200" w:after="80"/>
      </w:pPr>
      <w:r>
        <w:rPr>
          <w:rFonts w:ascii="SimHei" w:hAnsi="SimHei" w:eastAsia="SimHei"/>
          <w:color w:val="000000"/>
          <w:sz w:val="27"/>
        </w:rPr>
        <w:t>三、五个结论</w:t>
      </w:r>
    </w:p>
    <w:p>
      <w:pPr>
        <w:pStyle w:val="Heading3"/>
        <w:spacing w:before="120" w:after="80"/>
      </w:pPr>
      <w:r>
        <w:rPr>
          <w:rFonts w:ascii="SimHei" w:hAnsi="SimHei" w:eastAsia="SimHei"/>
          <w:color w:val="000000"/>
          <w:sz w:val="24"/>
        </w:rPr>
        <w:t>结论 1 ——「哪里能走」这一侧的完整模型先验，可以整个拿掉，且不花代价</w:t>
      </w:r>
    </w:p>
    <w:p>
      <w:pPr>
        <w:spacing w:after="80"/>
        <w:jc w:val="both"/>
      </w:pPr>
      <w:r>
        <w:rPr>
          <w:rFonts w:ascii="SimSun" w:hAnsi="SimSun" w:eastAsia="SimSun"/>
        </w:rPr>
        <w:t>把可通行空间由"完整模型栅格化"改为"观测驱动"（LEGACY → P100）：</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spacing w:before="20" w:after="20"/>
            </w:pPr>
            <w:r>
              <w:rPr>
                <w:rFonts w:ascii="SimSun" w:hAnsi="SimSun" w:eastAsia="SimSun"/>
                <w:b/>
                <w:sz w:val="17"/>
              </w:rPr>
              <w:t>指标</w:t>
            </w:r>
          </w:p>
        </w:tc>
        <w:tc>
          <w:tcPr>
            <w:tcW w:type="dxa" w:w="2880"/>
          </w:tcPr>
          <w:p>
            <w:pPr>
              <w:spacing w:before="20" w:after="20"/>
            </w:pPr>
            <w:r>
              <w:rPr>
                <w:rFonts w:ascii="SimSun" w:hAnsi="SimSun" w:eastAsia="SimSun"/>
                <w:b/>
                <w:sz w:val="17"/>
              </w:rPr>
              <w:t>变化</w:t>
            </w:r>
          </w:p>
        </w:tc>
        <w:tc>
          <w:tcPr>
            <w:tcW w:type="dxa" w:w="2880"/>
          </w:tcPr>
          <w:p>
            <w:pPr>
              <w:spacing w:before="20" w:after="20"/>
            </w:pPr>
            <w:r>
              <w:rPr>
                <w:rFonts w:ascii="SimSun" w:hAnsi="SimSun" w:eastAsia="SimSun"/>
                <w:b/>
                <w:sz w:val="17"/>
              </w:rPr>
              <w:t>p_holm</w:t>
            </w:r>
          </w:p>
        </w:tc>
      </w:tr>
      <w:tr>
        <w:tc>
          <w:tcPr>
            <w:tcW w:type="dxa" w:w="2880"/>
          </w:tcPr>
          <w:p>
            <w:pPr>
              <w:spacing w:before="20" w:after="20"/>
            </w:pPr>
            <w:r>
              <w:rPr>
                <w:rFonts w:ascii="SimSun" w:hAnsi="SimSun" w:eastAsia="SimSun"/>
                <w:sz w:val="17"/>
              </w:rPr>
              <w:t>面积加权缺口恢复率</w:t>
            </w:r>
          </w:p>
        </w:tc>
        <w:tc>
          <w:tcPr>
            <w:tcW w:type="dxa" w:w="2880"/>
          </w:tcPr>
          <w:p>
            <w:pPr>
              <w:spacing w:before="20" w:after="20"/>
            </w:pPr>
            <w:r>
              <w:rPr>
                <w:rFonts w:ascii="SimSun" w:hAnsi="SimSun" w:eastAsia="SimSun"/>
                <w:sz w:val="17"/>
              </w:rPr>
              <w:t>−0.001</w:t>
            </w:r>
          </w:p>
        </w:tc>
        <w:tc>
          <w:tcPr>
            <w:tcW w:type="dxa" w:w="2880"/>
          </w:tcPr>
          <w:p>
            <w:pPr>
              <w:spacing w:before="20" w:after="20"/>
            </w:pPr>
            <w:r>
              <w:rPr>
                <w:rFonts w:ascii="SimSun" w:hAnsi="SimSun" w:eastAsia="SimSun"/>
                <w:sz w:val="17"/>
              </w:rPr>
              <w:t>1.0000</w:t>
            </w:r>
          </w:p>
        </w:tc>
      </w:tr>
      <w:tr>
        <w:tc>
          <w:tcPr>
            <w:tcW w:type="dxa" w:w="2880"/>
          </w:tcPr>
          <w:p>
            <w:pPr>
              <w:spacing w:before="20" w:after="20"/>
            </w:pPr>
            <w:r>
              <w:rPr>
                <w:rFonts w:ascii="SimSun" w:hAnsi="SimSun" w:eastAsia="SimSun"/>
                <w:sz w:val="17"/>
              </w:rPr>
              <w:t>资产级恢复率</w:t>
            </w:r>
          </w:p>
        </w:tc>
        <w:tc>
          <w:tcPr>
            <w:tcW w:type="dxa" w:w="2880"/>
          </w:tcPr>
          <w:p>
            <w:pPr>
              <w:spacing w:before="20" w:after="20"/>
            </w:pPr>
            <w:r>
              <w:rPr>
                <w:rFonts w:ascii="SimSun" w:hAnsi="SimSun" w:eastAsia="SimSun"/>
                <w:sz w:val="17"/>
              </w:rPr>
              <w:t>−0.004</w:t>
            </w:r>
          </w:p>
        </w:tc>
        <w:tc>
          <w:tcPr>
            <w:tcW w:type="dxa" w:w="2880"/>
          </w:tcPr>
          <w:p>
            <w:pPr>
              <w:spacing w:before="20" w:after="20"/>
            </w:pPr>
            <w:r>
              <w:rPr>
                <w:rFonts w:ascii="SimSun" w:hAnsi="SimSun" w:eastAsia="SimSun"/>
                <w:sz w:val="17"/>
              </w:rPr>
              <w:t>1.0000</w:t>
            </w:r>
          </w:p>
        </w:tc>
      </w:tr>
      <w:tr>
        <w:tc>
          <w:tcPr>
            <w:tcW w:type="dxa" w:w="2880"/>
          </w:tcPr>
          <w:p>
            <w:pPr>
              <w:spacing w:before="20" w:after="20"/>
            </w:pPr>
            <w:r>
              <w:rPr>
                <w:rFonts w:ascii="SimSun" w:hAnsi="SimSun" w:eastAsia="SimSun"/>
                <w:sz w:val="17"/>
              </w:rPr>
              <w:t>可见性单向高估</w:t>
            </w:r>
          </w:p>
        </w:tc>
        <w:tc>
          <w:tcPr>
            <w:tcW w:type="dxa" w:w="2880"/>
          </w:tcPr>
          <w:p>
            <w:pPr>
              <w:spacing w:before="20" w:after="20"/>
            </w:pPr>
            <w:r>
              <w:rPr>
                <w:rFonts w:ascii="SimSun" w:hAnsi="SimSun" w:eastAsia="SimSun"/>
                <w:sz w:val="17"/>
              </w:rPr>
              <w:t>−0.001</w:t>
            </w:r>
          </w:p>
        </w:tc>
        <w:tc>
          <w:tcPr>
            <w:tcW w:type="dxa" w:w="2880"/>
          </w:tcPr>
          <w:p>
            <w:pPr>
              <w:spacing w:before="20" w:after="20"/>
            </w:pPr>
            <w:r>
              <w:rPr>
                <w:rFonts w:ascii="SimSun" w:hAnsi="SimSun" w:eastAsia="SimSun"/>
                <w:sz w:val="17"/>
              </w:rPr>
              <w:t>1.0000</w:t>
            </w:r>
          </w:p>
        </w:tc>
      </w:tr>
      <w:tr>
        <w:tc>
          <w:tcPr>
            <w:tcW w:type="dxa" w:w="2880"/>
          </w:tcPr>
          <w:p>
            <w:pPr>
              <w:spacing w:before="20" w:after="20"/>
            </w:pPr>
            <w:r>
              <w:rPr>
                <w:rFonts w:ascii="SimSun" w:hAnsi="SimSun" w:eastAsia="SimSun"/>
                <w:sz w:val="17"/>
              </w:rPr>
              <w:t>无效视点占比</w:t>
            </w:r>
          </w:p>
        </w:tc>
        <w:tc>
          <w:tcPr>
            <w:tcW w:type="dxa" w:w="2880"/>
          </w:tcPr>
          <w:p>
            <w:pPr>
              <w:spacing w:before="20" w:after="20"/>
            </w:pPr>
            <w:r>
              <w:rPr>
                <w:rFonts w:ascii="SimSun" w:hAnsi="SimSun" w:eastAsia="SimSun"/>
                <w:sz w:val="17"/>
              </w:rPr>
              <w:t>−0.006</w:t>
            </w:r>
          </w:p>
        </w:tc>
        <w:tc>
          <w:tcPr>
            <w:tcW w:type="dxa" w:w="2880"/>
          </w:tcPr>
          <w:p>
            <w:pPr>
              <w:spacing w:before="20" w:after="20"/>
            </w:pPr>
            <w:r>
              <w:rPr>
                <w:rFonts w:ascii="SimSun" w:hAnsi="SimSun" w:eastAsia="SimSun"/>
                <w:sz w:val="17"/>
              </w:rPr>
              <w:t>1.0000</w:t>
            </w:r>
          </w:p>
        </w:tc>
      </w:tr>
    </w:tbl>
    <w:p/>
    <w:p>
      <w:pPr>
        <w:spacing w:after="80"/>
        <w:jc w:val="both"/>
      </w:pPr>
      <w:r>
        <w:rPr>
          <w:rFonts w:ascii="SimSun" w:hAnsi="SimSun" w:eastAsia="SimSun"/>
          <w:b/>
        </w:rPr>
        <w:t>四项全部无显著差异。</w:t>
      </w:r>
      <w:r>
        <w:rPr>
          <w:rFonts w:ascii="SimSun" w:hAnsi="SimSun" w:eastAsia="SimSun"/>
        </w:rPr>
        <w:t xml:space="preserve"> 这一侧的完整模型先验是纯粹多余的。</w:t>
      </w:r>
    </w:p>
    <w:p>
      <w:pPr>
        <w:pStyle w:val="Heading3"/>
        <w:spacing w:before="120" w:after="80"/>
      </w:pPr>
      <w:r>
        <w:rPr>
          <w:rFonts w:ascii="SimHei" w:hAnsi="SimHei" w:eastAsia="SimHei"/>
          <w:color w:val="000000"/>
          <w:sz w:val="24"/>
        </w:rPr>
        <w:t>结论 2 ——「什么挡住视线」这一侧确有依赖，代价可量化</w:t>
      </w:r>
    </w:p>
    <w:p>
      <w:pPr>
        <w:spacing w:after="80"/>
        <w:jc w:val="both"/>
      </w:pPr>
      <w:r>
        <w:rPr>
          <w:rFonts w:ascii="SimSun" w:hAnsi="SimSun" w:eastAsia="SimSun"/>
        </w:rPr>
        <w:t>参考模型完全不描述任何非目标环境几何（P0）时，相对完整先验：</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spacing w:before="20" w:after="20"/>
            </w:pPr>
          </w:p>
        </w:tc>
        <w:tc>
          <w:tcPr>
            <w:tcW w:type="dxa" w:w="2880"/>
          </w:tcPr>
          <w:p>
            <w:pPr>
              <w:spacing w:before="20" w:after="20"/>
            </w:pPr>
            <w:r>
              <w:rPr>
                <w:rFonts w:ascii="SimSun" w:hAnsi="SimSun" w:eastAsia="SimSun"/>
                <w:b/>
                <w:sz w:val="17"/>
              </w:rPr>
              <w:t>面积加权恢复率</w:t>
            </w:r>
          </w:p>
        </w:tc>
        <w:tc>
          <w:tcPr>
            <w:tcW w:type="dxa" w:w="2880"/>
          </w:tcPr>
          <w:p>
            <w:pPr>
              <w:spacing w:before="20" w:after="20"/>
            </w:pPr>
            <w:r>
              <w:rPr>
                <w:rFonts w:ascii="SimSun" w:hAnsi="SimSun" w:eastAsia="SimSun"/>
                <w:b/>
                <w:sz w:val="17"/>
              </w:rPr>
              <w:t>资产级恢复率</w:t>
            </w:r>
          </w:p>
        </w:tc>
      </w:tr>
      <w:tr>
        <w:tc>
          <w:tcPr>
            <w:tcW w:type="dxa" w:w="2880"/>
          </w:tcPr>
          <w:p>
            <w:pPr>
              <w:spacing w:before="20" w:after="20"/>
            </w:pPr>
            <w:r>
              <w:rPr>
                <w:rFonts w:ascii="SimSun" w:hAnsi="SimSun" w:eastAsia="SimSun"/>
                <w:b/>
                <w:sz w:val="17"/>
              </w:rPr>
              <w:t>不开</w:t>
            </w:r>
            <w:r>
              <w:rPr>
                <w:rFonts w:ascii="SimSun" w:hAnsi="SimSun" w:eastAsia="SimSun"/>
                <w:sz w:val="17"/>
              </w:rPr>
              <w:t>在线环境更新</w:t>
            </w:r>
          </w:p>
        </w:tc>
        <w:tc>
          <w:tcPr>
            <w:tcW w:type="dxa" w:w="2880"/>
          </w:tcPr>
          <w:p>
            <w:pPr>
              <w:spacing w:before="20" w:after="20"/>
            </w:pPr>
            <w:r>
              <w:rPr>
                <w:rFonts w:ascii="SimSun" w:hAnsi="SimSun" w:eastAsia="SimSun"/>
                <w:sz w:val="17"/>
              </w:rPr>
              <w:t>−0.067（p=0.0016，显著）</w:t>
            </w:r>
          </w:p>
        </w:tc>
        <w:tc>
          <w:tcPr>
            <w:tcW w:type="dxa" w:w="2880"/>
          </w:tcPr>
          <w:p>
            <w:pPr>
              <w:spacing w:before="20" w:after="20"/>
            </w:pPr>
            <w:r>
              <w:rPr>
                <w:rFonts w:ascii="SimSun" w:hAnsi="SimSun" w:eastAsia="SimSun"/>
                <w:b/>
                <w:sz w:val="17"/>
              </w:rPr>
              <w:t>−0.096</w:t>
            </w:r>
            <w:r>
              <w:rPr>
                <w:rFonts w:ascii="SimSun" w:hAnsi="SimSun" w:eastAsia="SimSun"/>
                <w:sz w:val="17"/>
              </w:rPr>
              <w:t>（p=0.0075，显著）</w:t>
            </w:r>
          </w:p>
        </w:tc>
      </w:tr>
      <w:tr>
        <w:tc>
          <w:tcPr>
            <w:tcW w:type="dxa" w:w="2880"/>
          </w:tcPr>
          <w:p>
            <w:pPr>
              <w:spacing w:before="20" w:after="20"/>
            </w:pPr>
            <w:r>
              <w:rPr>
                <w:rFonts w:ascii="SimSun" w:hAnsi="SimSun" w:eastAsia="SimSun"/>
                <w:b/>
                <w:sz w:val="17"/>
              </w:rPr>
              <w:t>开</w:t>
            </w:r>
            <w:r>
              <w:rPr>
                <w:rFonts w:ascii="SimSun" w:hAnsi="SimSun" w:eastAsia="SimSun"/>
                <w:sz w:val="17"/>
              </w:rPr>
              <w:t>在线环境更新</w:t>
            </w:r>
          </w:p>
        </w:tc>
        <w:tc>
          <w:tcPr>
            <w:tcW w:type="dxa" w:w="2880"/>
          </w:tcPr>
          <w:p>
            <w:pPr>
              <w:spacing w:before="20" w:after="20"/>
            </w:pPr>
            <w:r>
              <w:rPr>
                <w:rFonts w:ascii="SimSun" w:hAnsi="SimSun" w:eastAsia="SimSun"/>
                <w:sz w:val="17"/>
              </w:rPr>
              <w:t>−0.003（p=1.0000，</w:t>
            </w:r>
            <w:r>
              <w:rPr>
                <w:rFonts w:ascii="SimSun" w:hAnsi="SimSun" w:eastAsia="SimSun"/>
                <w:b/>
                <w:sz w:val="17"/>
              </w:rPr>
              <w:t>无显著差异</w:t>
            </w:r>
            <w:r>
              <w:rPr>
                <w:rFonts w:ascii="SimSun" w:hAnsi="SimSun" w:eastAsia="SimSun"/>
                <w:sz w:val="17"/>
              </w:rPr>
              <w:t>）</w:t>
            </w:r>
          </w:p>
        </w:tc>
        <w:tc>
          <w:tcPr>
            <w:tcW w:type="dxa" w:w="2880"/>
          </w:tcPr>
          <w:p>
            <w:pPr>
              <w:spacing w:before="20" w:after="20"/>
            </w:pPr>
            <w:r>
              <w:rPr>
                <w:rFonts w:ascii="SimSun" w:hAnsi="SimSun" w:eastAsia="SimSun"/>
                <w:b/>
                <w:sz w:val="17"/>
              </w:rPr>
              <w:t>−0.027</w:t>
            </w:r>
            <w:r>
              <w:rPr>
                <w:rFonts w:ascii="SimSun" w:hAnsi="SimSun" w:eastAsia="SimSun"/>
                <w:sz w:val="17"/>
              </w:rPr>
              <w:t>（p=0.0464，显著）</w:t>
            </w:r>
          </w:p>
        </w:tc>
      </w:tr>
    </w:tbl>
    <w:p/>
    <w:p>
      <w:pPr>
        <w:spacing w:after="80"/>
        <w:jc w:val="both"/>
      </w:pPr>
      <w:r>
        <w:rPr>
          <w:rFonts w:ascii="SimSun" w:hAnsi="SimSun" w:eastAsia="SimSun"/>
        </w:rPr>
        <w:t>240 次运行</w:t>
      </w:r>
      <w:r>
        <w:rPr>
          <w:rFonts w:ascii="SimSun" w:hAnsi="SimSun" w:eastAsia="SimSun"/>
          <w:b/>
        </w:rPr>
        <w:t>全部在预算内跑满全部轮次</w:t>
      </w:r>
      <w:r>
        <w:rPr>
          <w:rFonts w:ascii="SimSun" w:hAnsi="SimSun" w:eastAsia="SimSun"/>
        </w:rPr>
        <w:t>，无一因候选池枯竭提前终止。</w:t>
      </w:r>
    </w:p>
    <w:p>
      <w:pPr>
        <w:ind w:left="360"/>
      </w:pPr>
      <w:r>
        <w:rPr>
          <w:rFonts w:ascii="SimSun" w:hAnsi="SimSun" w:eastAsia="SimSun"/>
          <w:i/>
        </w:rPr>
        <w:t>那个 0.027 达到了显著，</w:t>
      </w:r>
      <w:r>
        <w:rPr>
          <w:rFonts w:ascii="SimSun" w:hAnsi="SimSun" w:eastAsia="SimSun"/>
          <w:b/>
          <w:i/>
        </w:rPr>
        <w:t>如实写明，不说成"无损失"</w:t>
      </w:r>
      <w:r>
        <w:rPr>
          <w:rFonts w:ascii="SimSun" w:hAnsi="SimSun" w:eastAsia="SimSun"/>
          <w:i/>
        </w:rPr>
        <w:t>。</w:t>
      </w:r>
    </w:p>
    <w:p>
      <w:pPr>
        <w:pStyle w:val="Heading3"/>
        <w:spacing w:before="120" w:after="80"/>
      </w:pPr>
      <w:r>
        <w:rPr>
          <w:rFonts w:ascii="SimHei" w:hAnsi="SimHei" w:eastAsia="SimHei"/>
          <w:color w:val="000000"/>
          <w:sz w:val="24"/>
        </w:rPr>
        <w:t>结论 3 —— 在线环境更新的价值，随参考模型描述环境的程度减弱而增大</w:t>
      </w:r>
    </w:p>
    <w:p>
      <w:pPr>
        <w:spacing w:after="80"/>
        <w:jc w:val="both"/>
      </w:pPr>
      <w:r>
        <w:rPr>
          <w:rFonts w:ascii="Consolas" w:hAnsi="Consolas" w:eastAsia="Consolas"/>
          <w:sz w:val="18"/>
        </w:rPr>
        <w:t>B11 − B10</w:t>
      </w:r>
      <w:r>
        <w:rPr>
          <w:rFonts w:ascii="SimSun" w:hAnsi="SimSun" w:eastAsia="SimSun"/>
        </w:rPr>
        <w:t xml:space="preserve"> 的资产恢复率增益，逐档：</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pPr>
              <w:spacing w:before="20" w:after="20"/>
            </w:pPr>
            <w:r>
              <w:rPr>
                <w:rFonts w:ascii="SimSun" w:hAnsi="SimSun" w:eastAsia="SimSun"/>
                <w:b/>
                <w:sz w:val="17"/>
              </w:rPr>
              <w:t>先验档</w:t>
            </w:r>
          </w:p>
        </w:tc>
        <w:tc>
          <w:tcPr>
            <w:tcW w:type="dxa" w:w="1728"/>
          </w:tcPr>
          <w:p>
            <w:pPr>
              <w:spacing w:before="20" w:after="20"/>
            </w:pPr>
            <w:r>
              <w:rPr>
                <w:rFonts w:ascii="SimSun" w:hAnsi="SimSun" w:eastAsia="SimSun"/>
                <w:b/>
                <w:sz w:val="17"/>
              </w:rPr>
              <w:t>P100</w:t>
            </w:r>
          </w:p>
        </w:tc>
        <w:tc>
          <w:tcPr>
            <w:tcW w:type="dxa" w:w="1728"/>
          </w:tcPr>
          <w:p>
            <w:pPr>
              <w:spacing w:before="20" w:after="20"/>
            </w:pPr>
            <w:r>
              <w:rPr>
                <w:rFonts w:ascii="SimSun" w:hAnsi="SimSun" w:eastAsia="SimSun"/>
                <w:b/>
                <w:sz w:val="17"/>
              </w:rPr>
              <w:t>P75</w:t>
            </w:r>
          </w:p>
        </w:tc>
        <w:tc>
          <w:tcPr>
            <w:tcW w:type="dxa" w:w="1728"/>
          </w:tcPr>
          <w:p>
            <w:pPr>
              <w:spacing w:before="20" w:after="20"/>
            </w:pPr>
            <w:r>
              <w:rPr>
                <w:rFonts w:ascii="SimSun" w:hAnsi="SimSun" w:eastAsia="SimSun"/>
                <w:b/>
                <w:sz w:val="17"/>
              </w:rPr>
              <w:t>P50</w:t>
            </w:r>
          </w:p>
        </w:tc>
        <w:tc>
          <w:tcPr>
            <w:tcW w:type="dxa" w:w="1728"/>
          </w:tcPr>
          <w:p>
            <w:pPr>
              <w:spacing w:before="20" w:after="20"/>
            </w:pPr>
            <w:r>
              <w:rPr>
                <w:rFonts w:ascii="SimSun" w:hAnsi="SimSun" w:eastAsia="SimSun"/>
                <w:b/>
                <w:sz w:val="17"/>
              </w:rPr>
              <w:t>P0</w:t>
            </w:r>
          </w:p>
        </w:tc>
      </w:tr>
      <w:tr>
        <w:tc>
          <w:tcPr>
            <w:tcW w:type="dxa" w:w="1728"/>
          </w:tcPr>
          <w:p>
            <w:pPr>
              <w:spacing w:before="20" w:after="20"/>
            </w:pPr>
            <w:r>
              <w:rPr>
                <w:rFonts w:ascii="SimSun" w:hAnsi="SimSun" w:eastAsia="SimSun"/>
                <w:sz w:val="17"/>
              </w:rPr>
              <w:t>资产恢复增益</w:t>
            </w:r>
          </w:p>
        </w:tc>
        <w:tc>
          <w:tcPr>
            <w:tcW w:type="dxa" w:w="1728"/>
          </w:tcPr>
          <w:p>
            <w:pPr>
              <w:spacing w:before="20" w:after="20"/>
            </w:pPr>
            <w:r>
              <w:rPr>
                <w:rFonts w:ascii="SimSun" w:hAnsi="SimSun" w:eastAsia="SimSun"/>
                <w:sz w:val="17"/>
              </w:rPr>
              <w:t>+0.012</w:t>
            </w:r>
          </w:p>
        </w:tc>
        <w:tc>
          <w:tcPr>
            <w:tcW w:type="dxa" w:w="1728"/>
          </w:tcPr>
          <w:p>
            <w:pPr>
              <w:spacing w:before="20" w:after="20"/>
            </w:pPr>
            <w:r>
              <w:rPr>
                <w:rFonts w:ascii="SimSun" w:hAnsi="SimSun" w:eastAsia="SimSun"/>
                <w:sz w:val="17"/>
              </w:rPr>
              <w:t>+0.045</w:t>
            </w:r>
          </w:p>
        </w:tc>
        <w:tc>
          <w:tcPr>
            <w:tcW w:type="dxa" w:w="1728"/>
          </w:tcPr>
          <w:p>
            <w:pPr>
              <w:spacing w:before="20" w:after="20"/>
            </w:pPr>
            <w:r>
              <w:rPr>
                <w:rFonts w:ascii="SimSun" w:hAnsi="SimSun" w:eastAsia="SimSun"/>
                <w:sz w:val="17"/>
              </w:rPr>
              <w:t>+0.061</w:t>
            </w:r>
          </w:p>
        </w:tc>
        <w:tc>
          <w:tcPr>
            <w:tcW w:type="dxa" w:w="1728"/>
          </w:tcPr>
          <w:p>
            <w:pPr>
              <w:spacing w:before="20" w:after="20"/>
            </w:pPr>
            <w:r>
              <w:rPr>
                <w:rFonts w:ascii="SimSun" w:hAnsi="SimSun" w:eastAsia="SimSun"/>
                <w:b/>
                <w:sz w:val="17"/>
              </w:rPr>
              <w:t>+0.092</w:t>
            </w:r>
          </w:p>
        </w:tc>
      </w:tr>
      <w:tr>
        <w:tc>
          <w:tcPr>
            <w:tcW w:type="dxa" w:w="1728"/>
          </w:tcPr>
          <w:p>
            <w:pPr>
              <w:spacing w:before="20" w:after="20"/>
            </w:pPr>
            <w:r>
              <w:rPr>
                <w:rFonts w:ascii="SimSun" w:hAnsi="SimSun" w:eastAsia="SimSun"/>
                <w:sz w:val="17"/>
              </w:rPr>
              <w:t>p_holm</w:t>
            </w:r>
          </w:p>
        </w:tc>
        <w:tc>
          <w:tcPr>
            <w:tcW w:type="dxa" w:w="1728"/>
          </w:tcPr>
          <w:p>
            <w:pPr>
              <w:spacing w:before="20" w:after="20"/>
            </w:pPr>
            <w:r>
              <w:rPr>
                <w:rFonts w:ascii="SimSun" w:hAnsi="SimSun" w:eastAsia="SimSun"/>
                <w:sz w:val="17"/>
              </w:rPr>
              <w:t>0.47</w:t>
            </w:r>
          </w:p>
        </w:tc>
        <w:tc>
          <w:tcPr>
            <w:tcW w:type="dxa" w:w="1728"/>
          </w:tcPr>
          <w:p>
            <w:pPr>
              <w:spacing w:before="20" w:after="20"/>
            </w:pPr>
            <w:r>
              <w:rPr>
                <w:rFonts w:ascii="SimSun" w:hAnsi="SimSun" w:eastAsia="SimSun"/>
                <w:sz w:val="17"/>
              </w:rPr>
              <w:t>0.14</w:t>
            </w:r>
          </w:p>
        </w:tc>
        <w:tc>
          <w:tcPr>
            <w:tcW w:type="dxa" w:w="1728"/>
          </w:tcPr>
          <w:p>
            <w:pPr>
              <w:spacing w:before="20" w:after="20"/>
            </w:pPr>
            <w:r>
              <w:rPr>
                <w:rFonts w:ascii="SimSun" w:hAnsi="SimSun" w:eastAsia="SimSun"/>
                <w:sz w:val="17"/>
              </w:rPr>
              <w:t>0.09</w:t>
            </w:r>
          </w:p>
        </w:tc>
        <w:tc>
          <w:tcPr>
            <w:tcW w:type="dxa" w:w="1728"/>
          </w:tcPr>
          <w:p>
            <w:pPr>
              <w:spacing w:before="20" w:after="20"/>
            </w:pPr>
            <w:r>
              <w:rPr>
                <w:rFonts w:ascii="SimSun" w:hAnsi="SimSun" w:eastAsia="SimSun"/>
                <w:b/>
                <w:sz w:val="17"/>
              </w:rPr>
              <w:t>0.0117</w:t>
            </w:r>
          </w:p>
        </w:tc>
      </w:tr>
    </w:tbl>
    <w:p/>
    <w:p>
      <w:pPr>
        <w:spacing w:after="80"/>
        <w:jc w:val="both"/>
      </w:pPr>
      <w:r>
        <w:rPr>
          <w:rFonts w:ascii="SimSun" w:hAnsi="SimSun" w:eastAsia="SimSun"/>
        </w:rPr>
        <w:t xml:space="preserve">约 </w:t>
      </w:r>
      <w:r>
        <w:rPr>
          <w:rFonts w:ascii="SimSun" w:hAnsi="SimSun" w:eastAsia="SimSun"/>
          <w:b/>
        </w:rPr>
        <w:t>7.6 倍</w:t>
      </w:r>
      <w:r>
        <w:rPr>
          <w:rFonts w:ascii="SimSun" w:hAnsi="SimSun" w:eastAsia="SimSun"/>
        </w:rPr>
        <w:t>的增长。可见性单向高估则在</w:t>
      </w:r>
      <w:r>
        <w:rPr>
          <w:rFonts w:ascii="SimSun" w:hAnsi="SimSun" w:eastAsia="SimSun"/>
          <w:b/>
        </w:rPr>
        <w:t>全部五档</w:t>
      </w:r>
      <w:r>
        <w:rPr>
          <w:rFonts w:ascii="SimSun" w:hAnsi="SimSun" w:eastAsia="SimSun"/>
        </w:rPr>
        <w:t>都被降到 0.002（p_holm 全为 0.0020）。</w:t>
      </w:r>
    </w:p>
    <w:p>
      <w:pPr>
        <w:spacing w:after="80"/>
        <w:jc w:val="both"/>
      </w:pPr>
      <w:r>
        <w:rPr>
          <w:rFonts w:ascii="SimSun" w:hAnsi="SimSun" w:eastAsia="SimSun"/>
          <w:b/>
        </w:rPr>
        <w:t>这解释了此前 E3b 测出"在线发现对恢复率增益不显著（p = 0.50）"</w:t>
      </w:r>
      <w:r>
        <w:rPr>
          <w:rFonts w:ascii="SimSun" w:hAnsi="SimSun" w:eastAsia="SimSun"/>
        </w:rPr>
        <w:t>：E3b 是在完整环境先验下测的 —— 那时现场几乎一切都已建模，这个机制没什么可修正的。不是机制无效，是那个测试条件把它的作用对象拿掉了。</w:t>
      </w:r>
    </w:p>
    <w:p>
      <w:pPr>
        <w:ind w:left="360"/>
      </w:pPr>
      <w:r>
        <w:rPr>
          <w:rFonts w:ascii="SimSun" w:hAnsi="SimSun" w:eastAsia="SimSun"/>
          <w:b/>
          <w:i/>
        </w:rPr>
        <w:t>E3b 的原结论保持不变，未作任何改写。</w:t>
      </w:r>
      <w:r>
        <w:rPr>
          <w:rFonts w:ascii="SimSun" w:hAnsi="SimSun" w:eastAsia="SimSun"/>
          <w:i/>
        </w:rPr>
        <w:t xml:space="preserve"> 二者测量的先验条件不同，仅此而已。</w:t>
      </w:r>
    </w:p>
    <w:p>
      <w:pPr>
        <w:pStyle w:val="Heading3"/>
        <w:spacing w:before="120" w:after="80"/>
      </w:pPr>
      <w:r>
        <w:rPr>
          <w:rFonts w:ascii="SimHei" w:hAnsi="SimHei" w:eastAsia="SimHei"/>
          <w:color w:val="000000"/>
          <w:sz w:val="24"/>
        </w:rPr>
        <w:t>结论 4 —— 与探索类方法（frontier / NBV）优化的不是同一个量</w:t>
      </w:r>
    </w:p>
    <w:p>
      <w:pPr>
        <w:spacing w:after="80"/>
        <w:jc w:val="both"/>
      </w:pPr>
      <w:r>
        <w:rPr>
          <w:rFonts w:ascii="SimSun" w:hAnsi="SimSun" w:eastAsia="SimSun"/>
        </w:rPr>
        <w:t>同平台、同传感器、同预算、</w:t>
      </w:r>
      <w:r>
        <w:rPr>
          <w:rFonts w:ascii="SimSun" w:hAnsi="SimSun" w:eastAsia="SimSun"/>
          <w:b/>
        </w:rPr>
        <w:t>相同站数（均 6 站）</w:t>
      </w:r>
      <w:r>
        <w:rPr>
          <w:rFonts w:ascii="SimSun" w:hAnsi="SimSun" w:eastAsia="SimSun"/>
        </w:rPr>
        <w:t>，P0 档：</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spacing w:before="20" w:after="20"/>
            </w:pPr>
          </w:p>
        </w:tc>
        <w:tc>
          <w:tcPr>
            <w:tcW w:type="dxa" w:w="2880"/>
          </w:tcPr>
          <w:p>
            <w:pPr>
              <w:spacing w:before="20" w:after="20"/>
            </w:pPr>
            <w:r>
              <w:rPr>
                <w:rFonts w:ascii="SimSun" w:hAnsi="SimSun" w:eastAsia="SimSun"/>
                <w:b/>
                <w:sz w:val="17"/>
              </w:rPr>
              <w:t>探索基线 frontier</w:t>
            </w:r>
          </w:p>
        </w:tc>
        <w:tc>
          <w:tcPr>
            <w:tcW w:type="dxa" w:w="2880"/>
          </w:tcPr>
          <w:p>
            <w:pPr>
              <w:spacing w:before="20" w:after="20"/>
            </w:pPr>
            <w:r>
              <w:rPr>
                <w:rFonts w:ascii="SimSun" w:hAnsi="SimSun" w:eastAsia="SimSun"/>
                <w:b/>
                <w:sz w:val="17"/>
              </w:rPr>
              <w:t>本方法 B11</w:t>
            </w:r>
          </w:p>
        </w:tc>
      </w:tr>
      <w:tr>
        <w:tc>
          <w:tcPr>
            <w:tcW w:type="dxa" w:w="2880"/>
          </w:tcPr>
          <w:p>
            <w:pPr>
              <w:spacing w:before="20" w:after="20"/>
            </w:pPr>
            <w:r>
              <w:rPr>
                <w:rFonts w:ascii="SimSun" w:hAnsi="SimSun" w:eastAsia="SimSun"/>
                <w:b/>
                <w:sz w:val="17"/>
              </w:rPr>
              <w:t>地图覆盖</w:t>
            </w:r>
            <w:r>
              <w:rPr>
                <w:rFonts w:ascii="SimSun" w:hAnsi="SimSun" w:eastAsia="SimSun"/>
                <w:sz w:val="17"/>
              </w:rPr>
              <w:t>（frontier 的目标）</w:t>
            </w:r>
          </w:p>
        </w:tc>
        <w:tc>
          <w:tcPr>
            <w:tcW w:type="dxa" w:w="2880"/>
          </w:tcPr>
          <w:p>
            <w:pPr>
              <w:spacing w:before="20" w:after="20"/>
            </w:pPr>
            <w:r>
              <w:rPr>
                <w:rFonts w:ascii="SimSun" w:hAnsi="SimSun" w:eastAsia="SimSun"/>
                <w:b/>
                <w:sz w:val="17"/>
              </w:rPr>
              <w:t>0.952</w:t>
            </w:r>
          </w:p>
        </w:tc>
        <w:tc>
          <w:tcPr>
            <w:tcW w:type="dxa" w:w="2880"/>
          </w:tcPr>
          <w:p>
            <w:pPr>
              <w:spacing w:before="20" w:after="20"/>
            </w:pPr>
            <w:r>
              <w:rPr>
                <w:rFonts w:ascii="SimSun" w:hAnsi="SimSun" w:eastAsia="SimSun"/>
                <w:sz w:val="17"/>
              </w:rPr>
              <w:t>0.949</w:t>
            </w:r>
          </w:p>
        </w:tc>
      </w:tr>
      <w:tr>
        <w:tc>
          <w:tcPr>
            <w:tcW w:type="dxa" w:w="2880"/>
          </w:tcPr>
          <w:p>
            <w:pPr>
              <w:spacing w:before="20" w:after="20"/>
            </w:pPr>
            <w:r>
              <w:rPr>
                <w:rFonts w:ascii="SimSun" w:hAnsi="SimSun" w:eastAsia="SimSun"/>
                <w:b/>
                <w:sz w:val="17"/>
              </w:rPr>
              <w:t>资产级恢复</w:t>
            </w:r>
            <w:r>
              <w:rPr>
                <w:rFonts w:ascii="SimSun" w:hAnsi="SimSun" w:eastAsia="SimSun"/>
                <w:sz w:val="17"/>
              </w:rPr>
              <w:t>（本方法的目标）</w:t>
            </w:r>
          </w:p>
        </w:tc>
        <w:tc>
          <w:tcPr>
            <w:tcW w:type="dxa" w:w="2880"/>
          </w:tcPr>
          <w:p>
            <w:pPr>
              <w:spacing w:before="20" w:after="20"/>
            </w:pPr>
            <w:r>
              <w:rPr>
                <w:rFonts w:ascii="SimSun" w:hAnsi="SimSun" w:eastAsia="SimSun"/>
                <w:sz w:val="17"/>
              </w:rPr>
              <w:t>0.523</w:t>
            </w:r>
          </w:p>
        </w:tc>
        <w:tc>
          <w:tcPr>
            <w:tcW w:type="dxa" w:w="2880"/>
          </w:tcPr>
          <w:p>
            <w:pPr>
              <w:spacing w:before="20" w:after="20"/>
            </w:pPr>
            <w:r>
              <w:rPr>
                <w:rFonts w:ascii="SimSun" w:hAnsi="SimSun" w:eastAsia="SimSun"/>
                <w:b/>
                <w:sz w:val="17"/>
              </w:rPr>
              <w:t>0.922</w:t>
            </w:r>
          </w:p>
        </w:tc>
      </w:tr>
      <w:tr>
        <w:tc>
          <w:tcPr>
            <w:tcW w:type="dxa" w:w="2880"/>
          </w:tcPr>
          <w:p>
            <w:pPr>
              <w:spacing w:before="20" w:after="20"/>
            </w:pPr>
            <w:r>
              <w:rPr>
                <w:rFonts w:ascii="SimSun" w:hAnsi="SimSun" w:eastAsia="SimSun"/>
                <w:sz w:val="17"/>
              </w:rPr>
              <w:t>路径长度</w:t>
            </w:r>
          </w:p>
        </w:tc>
        <w:tc>
          <w:tcPr>
            <w:tcW w:type="dxa" w:w="2880"/>
          </w:tcPr>
          <w:p>
            <w:pPr>
              <w:spacing w:before="20" w:after="20"/>
            </w:pPr>
            <w:r>
              <w:rPr>
                <w:rFonts w:ascii="SimSun" w:hAnsi="SimSun" w:eastAsia="SimSun"/>
                <w:sz w:val="17"/>
              </w:rPr>
              <w:t>166.0 m</w:t>
            </w:r>
          </w:p>
        </w:tc>
        <w:tc>
          <w:tcPr>
            <w:tcW w:type="dxa" w:w="2880"/>
          </w:tcPr>
          <w:p>
            <w:pPr>
              <w:spacing w:before="20" w:after="20"/>
            </w:pPr>
            <w:r>
              <w:rPr>
                <w:rFonts w:ascii="SimSun" w:hAnsi="SimSun" w:eastAsia="SimSun"/>
                <w:b/>
                <w:sz w:val="17"/>
              </w:rPr>
              <w:t>155.5 m</w:t>
            </w:r>
          </w:p>
        </w:tc>
      </w:tr>
      <w:tr>
        <w:tc>
          <w:tcPr>
            <w:tcW w:type="dxa" w:w="2880"/>
          </w:tcPr>
          <w:p>
            <w:pPr>
              <w:spacing w:before="20" w:after="20"/>
            </w:pPr>
            <w:r>
              <w:rPr>
                <w:rFonts w:ascii="SimSun" w:hAnsi="SimSun" w:eastAsia="SimSun"/>
                <w:sz w:val="17"/>
              </w:rPr>
              <w:t>可见性单向高估</w:t>
            </w:r>
          </w:p>
        </w:tc>
        <w:tc>
          <w:tcPr>
            <w:tcW w:type="dxa" w:w="2880"/>
          </w:tcPr>
          <w:p>
            <w:pPr>
              <w:spacing w:before="20" w:after="20"/>
            </w:pPr>
            <w:r>
              <w:rPr>
                <w:rFonts w:ascii="SimSun" w:hAnsi="SimSun" w:eastAsia="SimSun"/>
                <w:sz w:val="17"/>
              </w:rPr>
              <w:t>0.136</w:t>
            </w:r>
          </w:p>
        </w:tc>
        <w:tc>
          <w:tcPr>
            <w:tcW w:type="dxa" w:w="2880"/>
          </w:tcPr>
          <w:p>
            <w:pPr>
              <w:spacing w:before="20" w:after="20"/>
            </w:pPr>
            <w:r>
              <w:rPr>
                <w:rFonts w:ascii="SimSun" w:hAnsi="SimSun" w:eastAsia="SimSun"/>
                <w:b/>
                <w:sz w:val="17"/>
              </w:rPr>
              <w:t>0.002</w:t>
            </w:r>
          </w:p>
        </w:tc>
      </w:tr>
    </w:tbl>
    <w:p/>
    <w:p>
      <w:pPr>
        <w:pStyle w:val="ListBullet"/>
        <w:ind w:left="360"/>
      </w:pPr>
      <w:r>
        <w:rPr>
          <w:rFonts w:ascii="SimSun" w:hAnsi="SimSun" w:eastAsia="SimSun"/>
          <w:b/>
        </w:rPr>
        <w:t>地图覆盖上 frontier 赢</w:t>
      </w:r>
      <w:r>
        <w:rPr>
          <w:rFonts w:ascii="SimSun" w:hAnsi="SimSun" w:eastAsia="SimSun"/>
        </w:rPr>
        <w:t>（p_holm 0.0252）—— 那是它的目标函数，如实报告。</w:t>
      </w:r>
    </w:p>
    <w:p>
      <w:pPr>
        <w:pStyle w:val="ListBullet"/>
        <w:ind w:left="360"/>
      </w:pPr>
      <w:r>
        <w:rPr>
          <w:rFonts w:ascii="SimSun" w:hAnsi="SimSun" w:eastAsia="SimSun"/>
        </w:rPr>
        <w:t xml:space="preserve">资产级恢复本方法高 </w:t>
      </w:r>
      <w:r>
        <w:rPr>
          <w:rFonts w:ascii="SimSun" w:hAnsi="SimSun" w:eastAsia="SimSun"/>
          <w:b/>
        </w:rPr>
        <w:t>0.40</w:t>
      </w:r>
      <w:r>
        <w:rPr>
          <w:rFonts w:ascii="SimSun" w:hAnsi="SimSun" w:eastAsia="SimSun"/>
        </w:rPr>
        <w:t>（p_holm 0.0040），</w:t>
      </w:r>
      <w:r>
        <w:rPr>
          <w:rFonts w:ascii="SimSun" w:hAnsi="SimSun" w:eastAsia="SimSun"/>
          <w:b/>
        </w:rPr>
        <w:t>且路径更短 10 m</w:t>
      </w:r>
      <w:r>
        <w:rPr>
          <w:rFonts w:ascii="SimSun" w:hAnsi="SimSun" w:eastAsia="SimSun"/>
        </w:rPr>
        <w:t>。站数相同、路径更短 —— 领先不是靠多花预算换来的。</w:t>
      </w:r>
    </w:p>
    <w:p>
      <w:pPr>
        <w:pStyle w:val="ListBullet"/>
        <w:ind w:left="360"/>
      </w:pPr>
      <w:r>
        <w:rPr>
          <w:rFonts w:ascii="SimSun" w:hAnsi="SimSun" w:eastAsia="SimSun"/>
        </w:rPr>
        <w:t>资产级差距（+0.40）远大于面积加权差距（+0.18）：frontier 按</w:t>
      </w:r>
      <w:r>
        <w:rPr>
          <w:rFonts w:ascii="SimSun" w:hAnsi="SimSun" w:eastAsia="SimSun"/>
          <w:b/>
        </w:rPr>
        <w:t>面积</w:t>
      </w:r>
      <w:r>
        <w:rPr>
          <w:rFonts w:ascii="SimSun" w:hAnsi="SimSun" w:eastAsia="SimSun"/>
        </w:rPr>
        <w:t>分配观测，本方法按</w:t>
      </w:r>
      <w:r>
        <w:rPr>
          <w:rFonts w:ascii="SimSun" w:hAnsi="SimSun" w:eastAsia="SimSun"/>
          <w:b/>
        </w:rPr>
        <w:t>资产与工程重要度</w:t>
      </w:r>
      <w:r>
        <w:rPr>
          <w:rFonts w:ascii="SimSun" w:hAnsi="SimSun" w:eastAsia="SimSun"/>
        </w:rPr>
        <w:t>分配。</w:t>
      </w:r>
    </w:p>
    <w:p>
      <w:pPr>
        <w:pStyle w:val="Heading3"/>
        <w:spacing w:before="120" w:after="80"/>
      </w:pPr>
      <w:r>
        <w:rPr>
          <w:rFonts w:ascii="SimHei" w:hAnsi="SimHei" w:eastAsia="SimHei"/>
          <w:color w:val="000000"/>
          <w:sz w:val="24"/>
        </w:rPr>
        <w:t>结论 5 —— M_ref 最少需要提供什么</w:t>
      </w:r>
    </w:p>
    <w:p>
      <w:pPr>
        <w:spacing w:after="80"/>
        <w:jc w:val="both"/>
      </w:pPr>
      <w:r>
        <w:rPr>
          <w:rFonts w:ascii="SimSun" w:hAnsi="SimSun" w:eastAsia="SimSun"/>
          <w:b/>
        </w:rPr>
        <w:t>必须提供（四项，缺一不可）</w:t>
      </w:r>
      <w:r>
        <w:rPr>
          <w:rFonts w:ascii="SimSun" w:hAnsi="SimSun" w:eastAsia="SimSun"/>
        </w:rPr>
        <w:t>：</w:t>
      </w:r>
    </w:p>
    <w:p>
      <w:pPr>
        <w:spacing w:after="40"/>
        <w:ind w:left="640" w:hanging="280"/>
      </w:pPr>
      <w:r>
        <w:rPr>
          <w:rFonts w:ascii="SimSun" w:hAnsi="SimSun" w:eastAsia="SimSun"/>
        </w:rPr>
        <w:t>1. 目标构件清单 —— 没有它就没有"缺口"这个概念</w:t>
      </w:r>
    </w:p>
    <w:p>
      <w:pPr>
        <w:spacing w:after="40"/>
        <w:ind w:left="640" w:hanging="280"/>
      </w:pPr>
      <w:r>
        <w:rPr>
          <w:rFonts w:ascii="SimSun" w:hAnsi="SimSun" w:eastAsia="SimSun"/>
        </w:rPr>
        <w:t>2. 目标表面几何 —— 用于分块、点—分块关联、覆盖率计算</w:t>
      </w:r>
    </w:p>
    <w:p>
      <w:pPr>
        <w:spacing w:after="40"/>
        <w:ind w:left="640" w:hanging="280"/>
      </w:pPr>
      <w:r>
        <w:rPr>
          <w:rFonts w:ascii="SimSun" w:hAnsi="SimSun" w:eastAsia="SimSun"/>
        </w:rPr>
        <w:t>3. 工程属性（重要度、密度要求、是否带电）</w:t>
      </w:r>
    </w:p>
    <w:p>
      <w:pPr>
        <w:spacing w:after="40"/>
        <w:ind w:left="640" w:hanging="280"/>
      </w:pPr>
      <w:r>
        <w:rPr>
          <w:rFonts w:ascii="SimSun" w:hAnsi="SimSun" w:eastAsia="SimSun"/>
        </w:rPr>
        <w:t>4. 一致性：凡声明为目标的表面，规划环境模型的初始内容必须含其几何</w:t>
      </w:r>
    </w:p>
    <w:p>
      <w:pPr>
        <w:spacing w:after="80"/>
        <w:jc w:val="both"/>
      </w:pPr>
      <w:r>
        <w:rPr>
          <w:rFonts w:ascii="SimSun" w:hAnsi="SimSun" w:eastAsia="SimSun"/>
          <w:b/>
        </w:rPr>
        <w:t>不需要提供</w:t>
      </w:r>
      <w:r>
        <w:rPr>
          <w:rFonts w:ascii="SimSun" w:hAnsi="SimSun" w:eastAsia="SimSun"/>
        </w:rPr>
        <w:t>：非目标环境几何（厂房、围墙、堆放物、临时设施）的位置、形状、有无。</w:t>
      </w:r>
    </w:p>
    <w:p>
      <w:pPr>
        <w:pStyle w:val="Heading2"/>
        <w:spacing w:before="200" w:after="80"/>
      </w:pPr>
      <w:r>
        <w:rPr>
          <w:rFonts w:ascii="SimHei" w:hAnsi="SimHei" w:eastAsia="SimHei"/>
          <w:color w:val="000000"/>
          <w:sz w:val="27"/>
        </w:rPr>
        <w:t>四、建议的技术定位</w:t>
      </w:r>
    </w:p>
    <w:p>
      <w:pPr>
        <w:ind w:left="360"/>
      </w:pPr>
      <w:r>
        <w:rPr>
          <w:rFonts w:ascii="SimSun" w:hAnsi="SimSun" w:eastAsia="SimSun"/>
          <w:i/>
        </w:rPr>
        <w:t>本方法不要求设计模型完整描述真实现场环境。目标参考模型用于定义需要检查的目标表面</w:t>
      </w:r>
    </w:p>
    <w:p>
      <w:pPr>
        <w:ind w:left="360"/>
      </w:pPr>
      <w:r>
        <w:rPr>
          <w:rFonts w:ascii="SimSun" w:hAnsi="SimSun" w:eastAsia="SimSun"/>
          <w:i/>
        </w:rPr>
        <w:t>及其工程属性；用于移动和可见性预测的规划环境模型则根据当前实际观测建立并在补充</w:t>
      </w:r>
    </w:p>
    <w:p>
      <w:pPr>
        <w:ind w:left="360"/>
      </w:pPr>
      <w:r>
        <w:rPr>
          <w:rFonts w:ascii="SimSun" w:hAnsi="SimSun" w:eastAsia="SimSun"/>
          <w:i/>
        </w:rPr>
        <w:t>扫描过程中持续更新。因此，本方法解决的不是一般未知环境建图问题，而是在目标任务</w:t>
      </w:r>
    </w:p>
    <w:p>
      <w:pPr>
        <w:ind w:left="360"/>
      </w:pPr>
      <w:r>
        <w:rPr>
          <w:rFonts w:ascii="SimSun" w:hAnsi="SimSun" w:eastAsia="SimSun"/>
          <w:i/>
        </w:rPr>
        <w:t>已知、现场环境几何仅部分已知的条件下，利用在线环境更新进行任务驱动的补充扫描规划。</w:t>
      </w:r>
    </w:p>
    <w:p>
      <w:pPr>
        <w:ind w:left="360"/>
      </w:pPr>
    </w:p>
    <w:p>
      <w:pPr>
        <w:ind w:left="360"/>
      </w:pPr>
      <w:r>
        <w:rPr>
          <w:rFonts w:ascii="SimSun" w:hAnsi="SimSun" w:eastAsia="SimSun"/>
          <w:b/>
          <w:i/>
        </w:rPr>
        <w:t>（建议追加的限定）</w:t>
      </w:r>
      <w:r>
        <w:rPr>
          <w:rFonts w:ascii="SimSun" w:hAnsi="SimSun" w:eastAsia="SimSun"/>
          <w:i/>
        </w:rPr>
        <w:t xml:space="preserve"> 现场环境几何完全未被参考模型描述时，本方法仍能在预算内完成</w:t>
      </w:r>
    </w:p>
    <w:p>
      <w:pPr>
        <w:ind w:left="360"/>
      </w:pPr>
      <w:r>
        <w:rPr>
          <w:rFonts w:ascii="SimSun" w:hAnsi="SimSun" w:eastAsia="SimSun"/>
          <w:i/>
        </w:rPr>
        <w:t>全部补充扫描轮次；配合在线环境更新，面积加权缺口恢复率与完整先验条件无显著差异，</w:t>
      </w:r>
    </w:p>
    <w:p>
      <w:pPr>
        <w:ind w:left="360"/>
      </w:pPr>
      <w:r>
        <w:rPr>
          <w:rFonts w:ascii="SimSun" w:hAnsi="SimSun" w:eastAsia="SimSun"/>
          <w:i/>
        </w:rPr>
        <w:t>资产级恢复率下降 0.027。</w:t>
      </w:r>
    </w:p>
    <w:p>
      <w:pPr>
        <w:spacing w:after="80"/>
        <w:jc w:val="both"/>
      </w:pPr>
      <w:r>
        <w:rPr>
          <w:rFonts w:ascii="SimSun" w:hAnsi="SimSun" w:eastAsia="SimSun"/>
        </w:rPr>
        <w:t>追加那一句的理由：不加，第二句会被读成"完全不需要环境先验也没有代价"，而资产级的0.027 是显著的。</w:t>
      </w:r>
    </w:p>
    <w:p>
      <w:pPr>
        <w:pStyle w:val="Heading2"/>
        <w:spacing w:before="200" w:after="80"/>
      </w:pPr>
      <w:r>
        <w:rPr>
          <w:rFonts w:ascii="SimHei" w:hAnsi="SimHei" w:eastAsia="SimHei"/>
          <w:color w:val="000000"/>
          <w:sz w:val="27"/>
        </w:rPr>
        <w:t>五、三条必须一并说明的边界</w:t>
      </w:r>
    </w:p>
    <w:p>
      <w:pPr>
        <w:spacing w:after="40"/>
        <w:ind w:left="640" w:hanging="280"/>
      </w:pPr>
      <w:r>
        <w:rPr>
          <w:rFonts w:ascii="SimSun" w:hAnsi="SimSun" w:eastAsia="SimSun"/>
        </w:rPr>
        <w:t xml:space="preserve">1. </w:t>
      </w:r>
      <w:r>
        <w:rPr>
          <w:rFonts w:ascii="SimSun" w:hAnsi="SimSun" w:eastAsia="SimSun"/>
          <w:b/>
        </w:rPr>
        <w:t>不得外推到非目标环境更多的场景。</w:t>
      </w:r>
      <w:r>
        <w:rPr>
          <w:rFonts w:ascii="SimSun" w:hAnsi="SimSun" w:eastAsia="SimSun"/>
        </w:rPr>
        <w:t xml:space="preserve"> 变电站里挡住设备的主要是</w:t>
      </w:r>
      <w:r>
        <w:rPr>
          <w:rFonts w:ascii="SimSun" w:hAnsi="SimSun" w:eastAsia="SimSun"/>
          <w:b/>
        </w:rPr>
        <w:t>其他设备</w:t>
      </w:r>
      <w:r>
        <w:rPr>
          <w:rFonts w:ascii="SimSun" w:hAnsi="SimSun" w:eastAsia="SimSun"/>
        </w:rPr>
        <w:t xml:space="preserve">，而设备本身就是目标；按三角面计，可移除的非目标环境只占 </w:t>
      </w:r>
      <w:r>
        <w:rPr>
          <w:rFonts w:ascii="SimSun" w:hAnsi="SimSun" w:eastAsia="SimSun"/>
          <w:b/>
        </w:rPr>
        <w:t>3.6–5.3%</w:t>
      </w:r>
      <w:r>
        <w:rPr>
          <w:rFonts w:ascii="SimSun" w:hAnsi="SimSun" w:eastAsia="SimSun"/>
        </w:rPr>
        <w:t>。上述 0.096 的代价是在这个比例下测得的。</w:t>
      </w:r>
    </w:p>
    <w:p>
      <w:pPr>
        <w:spacing w:after="40"/>
        <w:ind w:left="640" w:hanging="280"/>
      </w:pPr>
      <w:r>
        <w:rPr>
          <w:rFonts w:ascii="SimSun" w:hAnsi="SimSun" w:eastAsia="SimSun"/>
        </w:rPr>
        <w:t xml:space="preserve">2. </w:t>
      </w:r>
      <w:r>
        <w:rPr>
          <w:rFonts w:ascii="SimSun" w:hAnsi="SimSun" w:eastAsia="SimSun"/>
          <w:b/>
        </w:rPr>
        <w:t>真实建筑数据无法复现遮挡先验轴。</w:t>
      </w:r>
      <w:r>
        <w:rPr>
          <w:rFonts w:ascii="SimSun" w:hAnsi="SimSun" w:eastAsia="SimSun"/>
        </w:rPr>
        <w:t xml:space="preserve"> CRAS 实验楼 IFC 中 256 个构件全部为目标类，不存在非目标环境构件。真实数据只支持"通行侧"的结论。</w:t>
      </w:r>
    </w:p>
    <w:p>
      <w:pPr>
        <w:spacing w:after="40"/>
        <w:ind w:left="640" w:hanging="280"/>
      </w:pPr>
      <w:r>
        <w:rPr>
          <w:rFonts w:ascii="SimSun" w:hAnsi="SimSun" w:eastAsia="SimSun"/>
        </w:rPr>
        <w:t xml:space="preserve">3. </w:t>
      </w:r>
      <w:r>
        <w:rPr>
          <w:rFonts w:ascii="SimSun" w:hAnsi="SimSun" w:eastAsia="SimSun"/>
          <w:b/>
        </w:rPr>
        <w:t>未检验参考模型的目标几何本身不准的情形</w:t>
      </w:r>
      <w:r>
        <w:rPr>
          <w:rFonts w:ascii="SimSun" w:hAnsi="SimSun" w:eastAsia="SimSun"/>
        </w:rPr>
        <w:t>（竣工偏差）。本轮只调节环境先验，目标表面几何始终准确。</w:t>
      </w:r>
    </w:p>
    <w:p>
      <w:pPr>
        <w:pStyle w:val="Heading2"/>
        <w:spacing w:before="200" w:after="80"/>
      </w:pPr>
      <w:r>
        <w:rPr>
          <w:rFonts w:ascii="SimHei" w:hAnsi="SimHei" w:eastAsia="SimHei"/>
          <w:color w:val="000000"/>
          <w:sz w:val="27"/>
        </w:rPr>
        <w:t>六、本轮有三个缺陷差点被写成结论</w:t>
      </w:r>
    </w:p>
    <w:p>
      <w:pPr>
        <w:spacing w:after="80"/>
        <w:jc w:val="both"/>
      </w:pPr>
      <w:r>
        <w:rPr>
          <w:rFonts w:ascii="SimSun" w:hAnsi="SimSun" w:eastAsia="SimSun"/>
        </w:rPr>
        <w:t>记录在此，因为它们</w:t>
      </w:r>
      <w:r>
        <w:rPr>
          <w:rFonts w:ascii="SimSun" w:hAnsi="SimSun" w:eastAsia="SimSun"/>
          <w:b/>
        </w:rPr>
        <w:t>都曾以看起来合理的结论的形态出现</w:t>
      </w:r>
      <w:r>
        <w:rPr>
          <w:rFonts w:ascii="SimSun" w:hAnsi="SimSun" w:eastAsia="SimSun"/>
        </w:rP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spacing w:before="20" w:after="20"/>
            </w:pPr>
            <w:r>
              <w:rPr>
                <w:rFonts w:ascii="SimSun" w:hAnsi="SimSun" w:eastAsia="SimSun"/>
                <w:b/>
                <w:sz w:val="17"/>
              </w:rPr>
              <w:t>观察到的现象</w:t>
            </w:r>
          </w:p>
        </w:tc>
        <w:tc>
          <w:tcPr>
            <w:tcW w:type="dxa" w:w="2880"/>
          </w:tcPr>
          <w:p>
            <w:pPr>
              <w:spacing w:before="20" w:after="20"/>
            </w:pPr>
            <w:r>
              <w:rPr>
                <w:rFonts w:ascii="SimSun" w:hAnsi="SimSun" w:eastAsia="SimSun"/>
                <w:b/>
                <w:sz w:val="17"/>
              </w:rPr>
              <w:t>差点写成的结论</w:t>
            </w:r>
          </w:p>
        </w:tc>
        <w:tc>
          <w:tcPr>
            <w:tcW w:type="dxa" w:w="2880"/>
          </w:tcPr>
          <w:p>
            <w:pPr>
              <w:spacing w:before="20" w:after="20"/>
            </w:pPr>
            <w:r>
              <w:rPr>
                <w:rFonts w:ascii="SimSun" w:hAnsi="SimSun" w:eastAsia="SimSun"/>
                <w:b/>
                <w:sz w:val="17"/>
              </w:rPr>
              <w:t>实际原因</w:t>
            </w:r>
          </w:p>
        </w:tc>
      </w:tr>
      <w:tr>
        <w:tc>
          <w:tcPr>
            <w:tcW w:type="dxa" w:w="2880"/>
          </w:tcPr>
          <w:p>
            <w:pPr>
              <w:spacing w:before="20" w:after="20"/>
            </w:pPr>
            <w:r>
              <w:rPr>
                <w:rFonts w:ascii="SimSun" w:hAnsi="SimSun" w:eastAsia="SimSun"/>
                <w:sz w:val="17"/>
              </w:rPr>
              <w:t>P0 档 awc = 0.043</w:t>
            </w:r>
          </w:p>
        </w:tc>
        <w:tc>
          <w:tcPr>
            <w:tcW w:type="dxa" w:w="2880"/>
          </w:tcPr>
          <w:p>
            <w:pPr>
              <w:spacing w:before="20" w:after="20"/>
            </w:pPr>
            <w:r>
              <w:rPr>
                <w:rFonts w:ascii="SimSun" w:hAnsi="SimSun" w:eastAsia="SimSun"/>
                <w:sz w:val="17"/>
              </w:rPr>
              <w:t>「弱先验下方法不work」</w:t>
            </w:r>
          </w:p>
        </w:tc>
        <w:tc>
          <w:tcPr>
            <w:tcW w:type="dxa" w:w="2880"/>
          </w:tcPr>
          <w:p>
            <w:pPr>
              <w:spacing w:before="20" w:after="20"/>
            </w:pPr>
            <w:r>
              <w:rPr>
                <w:rFonts w:ascii="SimSun" w:hAnsi="SimSun" w:eastAsia="SimSun"/>
                <w:sz w:val="17"/>
              </w:rPr>
              <w:t>缓存缺陷吞掉了规划环境模型的逐轮更新。修复后 0.725</w:t>
            </w:r>
          </w:p>
        </w:tc>
      </w:tr>
      <w:tr>
        <w:tc>
          <w:tcPr>
            <w:tcW w:type="dxa" w:w="2880"/>
          </w:tcPr>
          <w:p>
            <w:pPr>
              <w:spacing w:before="20" w:after="20"/>
            </w:pPr>
            <w:r>
              <w:rPr>
                <w:rFonts w:ascii="SimSun" w:hAnsi="SimSun" w:eastAsia="SimSun"/>
                <w:sz w:val="17"/>
              </w:rPr>
              <w:t>B11 候选池枯竭随先验减弱单调上升（0/1/1/4）</w:t>
            </w:r>
          </w:p>
        </w:tc>
        <w:tc>
          <w:tcPr>
            <w:tcW w:type="dxa" w:w="2880"/>
          </w:tcPr>
          <w:p>
            <w:pPr>
              <w:spacing w:before="20" w:after="20"/>
            </w:pPr>
            <w:r>
              <w:rPr>
                <w:rFonts w:ascii="SimSun" w:hAnsi="SimSun" w:eastAsia="SimSun"/>
                <w:sz w:val="17"/>
              </w:rPr>
              <w:t>「在线发现在弱先验下使候选池提前枯竭」</w:t>
            </w:r>
          </w:p>
        </w:tc>
        <w:tc>
          <w:tcPr>
            <w:tcW w:type="dxa" w:w="2880"/>
          </w:tcPr>
          <w:p>
            <w:pPr>
              <w:spacing w:before="20" w:after="20"/>
            </w:pPr>
            <w:r>
              <w:rPr>
                <w:rFonts w:ascii="SimSun" w:hAnsi="SimSun" w:eastAsia="SimSun"/>
                <w:b/>
                <w:sz w:val="17"/>
              </w:rPr>
              <w:t>平台被卡在自己正站着的位置上</w:t>
            </w:r>
            <w:r>
              <w:rPr>
                <w:rFonts w:ascii="SimSun" w:hAnsi="SimSun" w:eastAsia="SimSun"/>
                <w:sz w:val="17"/>
              </w:rPr>
              <w:t xml:space="preserve">。修复后 240 次运行枯竭数为 </w:t>
            </w:r>
            <w:r>
              <w:rPr>
                <w:rFonts w:ascii="SimSun" w:hAnsi="SimSun" w:eastAsia="SimSun"/>
                <w:b/>
                <w:sz w:val="17"/>
              </w:rPr>
              <w:t>0</w:t>
            </w:r>
          </w:p>
        </w:tc>
      </w:tr>
      <w:tr>
        <w:tc>
          <w:tcPr>
            <w:tcW w:type="dxa" w:w="2880"/>
          </w:tcPr>
          <w:p>
            <w:pPr>
              <w:spacing w:before="20" w:after="20"/>
            </w:pPr>
            <w:r>
              <w:rPr>
                <w:rFonts w:ascii="SimSun" w:hAnsi="SimSun" w:eastAsia="SimSun"/>
                <w:sz w:val="17"/>
              </w:rPr>
              <w:t>frontier 平均只用 3.9 站、13/24 组提前终止</w:t>
            </w:r>
          </w:p>
        </w:tc>
        <w:tc>
          <w:tcPr>
            <w:tcW w:type="dxa" w:w="2880"/>
          </w:tcPr>
          <w:p>
            <w:pPr>
              <w:spacing w:before="20" w:after="20"/>
            </w:pPr>
            <w:r>
              <w:rPr>
                <w:rFonts w:ascii="SimSun" w:hAnsi="SimSun" w:eastAsia="SimSun"/>
                <w:sz w:val="17"/>
              </w:rPr>
              <w:t>「探索目标函数自己饱和了」</w:t>
            </w:r>
          </w:p>
        </w:tc>
        <w:tc>
          <w:tcPr>
            <w:tcW w:type="dxa" w:w="2880"/>
          </w:tcPr>
          <w:p>
            <w:pPr>
              <w:spacing w:before="20" w:after="20"/>
            </w:pPr>
            <w:r>
              <w:rPr>
                <w:rFonts w:ascii="SimSun" w:hAnsi="SimSun" w:eastAsia="SimSun"/>
                <w:sz w:val="17"/>
              </w:rPr>
              <w:t xml:space="preserve">同一缺陷。修复后 frontier </w:t>
            </w:r>
            <w:r>
              <w:rPr>
                <w:rFonts w:ascii="SimSun" w:hAnsi="SimSun" w:eastAsia="SimSun"/>
                <w:b/>
                <w:sz w:val="17"/>
              </w:rPr>
              <w:t>全部用满 6 站</w:t>
            </w:r>
            <w:r>
              <w:rPr>
                <w:rFonts w:ascii="SimSun" w:hAnsi="SimSun" w:eastAsia="SimSun"/>
                <w:sz w:val="17"/>
              </w:rPr>
              <w:t>，并且在地图覆盖上</w:t>
            </w:r>
            <w:r>
              <w:rPr>
                <w:rFonts w:ascii="SimSun" w:hAnsi="SimSun" w:eastAsia="SimSun"/>
                <w:b/>
                <w:sz w:val="17"/>
              </w:rPr>
              <w:t>赢了我们</w:t>
            </w:r>
          </w:p>
        </w:tc>
      </w:tr>
    </w:tbl>
    <w:p/>
    <w:p>
      <w:pPr>
        <w:spacing w:after="80"/>
        <w:jc w:val="both"/>
      </w:pPr>
      <w:r>
        <w:rPr>
          <w:rFonts w:ascii="SimSun" w:hAnsi="SimSun" w:eastAsia="SimSun"/>
        </w:rPr>
        <w:t>第三条尤其值得注意：它是一个</w:t>
      </w:r>
      <w:r>
        <w:rPr>
          <w:rFonts w:ascii="SimSun" w:hAnsi="SimSun" w:eastAsia="SimSun"/>
          <w:b/>
        </w:rPr>
        <w:t>对本方法有利</w:t>
      </w:r>
      <w:r>
        <w:rPr>
          <w:rFonts w:ascii="SimSun" w:hAnsi="SimSun" w:eastAsia="SimSun"/>
        </w:rPr>
        <w:t>的解释，当时听上去完全合理。若不追查机制直接写下，答复里就会多出一条经不起复现的论断。</w:t>
      </w:r>
    </w:p>
    <w:p>
      <w:pPr>
        <w:spacing w:after="80"/>
        <w:jc w:val="both"/>
      </w:pPr>
      <w:r>
        <w:rPr>
          <w:rFonts w:ascii="SimSun" w:hAnsi="SimSun" w:eastAsia="SimSun"/>
          <w:b/>
        </w:rPr>
        <w:t>处理方式</w:t>
      </w:r>
      <w:r>
        <w:rPr>
          <w:rFonts w:ascii="SimSun" w:hAnsi="SimSun" w:eastAsia="SimSun"/>
        </w:rPr>
        <w:t>：受影响的那一轮 E7 整体作废，其均衡子集归档在</w:t>
      </w:r>
      <w:r>
        <w:rPr>
          <w:rFonts w:ascii="Consolas" w:hAnsi="Consolas" w:eastAsia="Consolas"/>
          <w:sz w:val="18"/>
        </w:rPr>
        <w:t>实验记录/缺陷记录_勿引用/</w:t>
      </w:r>
      <w:r>
        <w:rPr>
          <w:rFonts w:ascii="SimSun" w:hAnsi="SimSun" w:eastAsia="SimSun"/>
        </w:rPr>
        <w:t>，</w:t>
      </w:r>
      <w:r>
        <w:rPr>
          <w:rFonts w:ascii="SimSun" w:hAnsi="SimSun" w:eastAsia="SimSun"/>
          <w:b/>
        </w:rPr>
        <w:t>仅作为"缺陷造成了什么"的记录，不得引用为性能数据</w:t>
      </w:r>
      <w:r>
        <w:rPr>
          <w:rFonts w:ascii="SimSun" w:hAnsi="SimSun" w:eastAsia="SimSun"/>
        </w:rPr>
        <w:t>。两个实验在修复后完整重跑。</w:t>
      </w:r>
    </w:p>
    <w:p>
      <w:pPr>
        <w:pStyle w:val="Heading2"/>
        <w:spacing w:before="200" w:after="80"/>
      </w:pPr>
      <w:r>
        <w:rPr>
          <w:rFonts w:ascii="SimHei" w:hAnsi="SimHei" w:eastAsia="SimHei"/>
          <w:color w:val="000000"/>
          <w:sz w:val="27"/>
        </w:rPr>
        <w:t>七、下一步（需要人来定的两件事）</w:t>
      </w:r>
    </w:p>
    <w:p>
      <w:pPr>
        <w:pStyle w:val="Heading3"/>
        <w:spacing w:before="120" w:after="80"/>
      </w:pPr>
      <w:r>
        <w:rPr>
          <w:rFonts w:ascii="SimHei" w:hAnsi="SimHei" w:eastAsia="SimHei"/>
          <w:color w:val="000000"/>
          <w:sz w:val="24"/>
        </w:rPr>
        <w:t>7.1 权利要求 1 中 S2 的写法（有推荐意见）</w:t>
      </w:r>
    </w:p>
    <w:p>
      <w:pPr>
        <w:spacing w:after="80"/>
        <w:jc w:val="both"/>
      </w:pPr>
      <w:r>
        <w:rPr>
          <w:rFonts w:ascii="SimSun" w:hAnsi="SimSun" w:eastAsia="SimSun"/>
        </w:rPr>
        <w:t>新 S2 若写成</w:t>
      </w:r>
      <w:r>
        <w:rPr>
          <w:rFonts w:ascii="SimSun" w:hAnsi="SimSun" w:eastAsia="SimSun"/>
          <w:b/>
        </w:rPr>
        <w:t>纯观测式</w:t>
      </w:r>
      <w:r>
        <w:rPr>
          <w:rFonts w:ascii="SimSun" w:hAnsi="SimSun" w:eastAsia="SimSun"/>
        </w:rPr>
        <w:t>（"依据已采集点云建立三态规划环境模型，未确认区域不作为可通行区域"），就放弃了"由设计模型生成可通行空间"这种写法。二者是</w:t>
      </w:r>
      <w:r>
        <w:rPr>
          <w:rFonts w:ascii="SimSun" w:hAnsi="SimSun" w:eastAsia="SimSun"/>
          <w:b/>
        </w:rPr>
        <w:t>不同的技术手段，不是包含关系</w:t>
      </w:r>
      <w:r>
        <w:rPr>
          <w:rFonts w:ascii="SimSun" w:hAnsi="SimSun" w:eastAsia="SimSun"/>
        </w:rPr>
        <w:t>。</w:t>
      </w:r>
    </w:p>
    <w:p>
      <w:pPr>
        <w:ind w:left="360"/>
      </w:pPr>
      <w:r>
        <w:rPr>
          <w:rFonts w:ascii="SimSun" w:hAnsi="SimSun" w:eastAsia="SimSun"/>
          <w:b/>
          <w:i/>
        </w:rPr>
        <w:t>推荐纯观测式作为独立权。</w:t>
      </w:r>
      <w:r>
        <w:rPr>
          <w:rFonts w:ascii="SimSun" w:hAnsi="SimSun" w:eastAsia="SimSun"/>
          <w:i/>
        </w:rPr>
        <w:t xml:space="preserve"> 理由：由设计模型生成可通行空间属于现有技术的通行做法，</w:t>
      </w:r>
    </w:p>
    <w:p>
      <w:pPr>
        <w:ind w:left="360"/>
      </w:pPr>
      <w:r>
        <w:rPr>
          <w:rFonts w:ascii="SimSun" w:hAnsi="SimSun" w:eastAsia="SimSun"/>
          <w:i/>
        </w:rPr>
        <w:t>写进独立权反而削弱新颖性论证；而"未确认区域不作为可通行区域"正是本方案与"模型里</w:t>
      </w:r>
    </w:p>
    <w:p>
      <w:pPr>
        <w:ind w:left="360"/>
      </w:pPr>
      <w:r>
        <w:rPr>
          <w:rFonts w:ascii="SimSun" w:hAnsi="SimSun" w:eastAsia="SimSun"/>
          <w:i/>
        </w:rPr>
        <w:t>为空即可走"的分界线，放进从属权等于把区别技术特征让出去。</w:t>
      </w:r>
    </w:p>
    <w:p>
      <w:pPr>
        <w:ind w:left="360"/>
      </w:pPr>
      <w:r>
        <w:rPr>
          <w:rFonts w:ascii="SimSun" w:hAnsi="SimSun" w:eastAsia="SimSun"/>
          <w:i/>
        </w:rPr>
        <w:t>同时</w:t>
      </w:r>
      <w:r>
        <w:rPr>
          <w:rFonts w:ascii="SimSun" w:hAnsi="SimSun" w:eastAsia="SimSun"/>
          <w:b/>
          <w:i/>
        </w:rPr>
        <w:t>新增一项从属权</w:t>
      </w:r>
      <w:r>
        <w:rPr>
          <w:rFonts w:ascii="SimSun" w:hAnsi="SimSun" w:eastAsia="SimSun"/>
          <w:i/>
        </w:rPr>
        <w:t>，覆盖"另以目标参考模型的目标表面作为初始占据先验"的写法，</w:t>
      </w:r>
    </w:p>
    <w:p>
      <w:pPr>
        <w:ind w:left="360"/>
      </w:pPr>
      <w:r>
        <w:rPr>
          <w:rFonts w:ascii="SimSun" w:hAnsi="SimSun" w:eastAsia="SimSun"/>
          <w:i/>
        </w:rPr>
        <w:t>保留退路。</w:t>
      </w:r>
    </w:p>
    <w:p>
      <w:pPr>
        <w:spacing w:after="80"/>
        <w:jc w:val="both"/>
      </w:pPr>
      <w:r>
        <w:rPr>
          <w:rFonts w:ascii="SimSun" w:hAnsi="SimSun" w:eastAsia="SimSun"/>
        </w:rPr>
        <w:t>最终取舍影响保护范围，</w:t>
      </w:r>
      <w:r>
        <w:rPr>
          <w:rFonts w:ascii="SimSun" w:hAnsi="SimSun" w:eastAsia="SimSun"/>
          <w:b/>
        </w:rPr>
        <w:t>须由代理人结合检索结果确认</w:t>
      </w:r>
      <w:r>
        <w:rPr>
          <w:rFonts w:ascii="SimSun" w:hAnsi="SimSun" w:eastAsia="SimSun"/>
        </w:rPr>
        <w:t>。</w:t>
      </w:r>
    </w:p>
    <w:p>
      <w:pPr>
        <w:pStyle w:val="Heading3"/>
        <w:spacing w:before="120" w:after="80"/>
      </w:pPr>
      <w:r>
        <w:rPr>
          <w:rFonts w:ascii="SimHei" w:hAnsi="SimHei" w:eastAsia="SimHei"/>
          <w:color w:val="000000"/>
          <w:sz w:val="24"/>
        </w:rPr>
        <w:t>7.2 最终申请稿尚未撰写</w:t>
      </w:r>
    </w:p>
    <w:p>
      <w:pPr>
        <w:spacing w:after="80"/>
        <w:jc w:val="both"/>
      </w:pPr>
      <w:r>
        <w:rPr>
          <w:rFonts w:ascii="SimSun" w:hAnsi="SimSun" w:eastAsia="SimSun"/>
        </w:rPr>
        <w:t>按指导第七阶段的要求，本轮</w:t>
      </w:r>
      <w:r>
        <w:rPr>
          <w:rFonts w:ascii="SimSun" w:hAnsi="SimSun" w:eastAsia="SimSun"/>
          <w:b/>
        </w:rPr>
        <w:t>只给修改建议、不生成最终申请稿</w:t>
      </w:r>
      <w:r>
        <w:rPr>
          <w:rFonts w:ascii="SimSun" w:hAnsi="SimSun" w:eastAsia="SimSun"/>
        </w:rPr>
        <w:t>。</w:t>
      </w:r>
      <w:r>
        <w:rPr>
          <w:rFonts w:ascii="Consolas" w:hAnsi="Consolas" w:eastAsia="Consolas"/>
          <w:sz w:val="18"/>
        </w:rPr>
        <w:t>07_专利技术方案修改影响分析.md</w:t>
      </w:r>
      <w:r>
        <w:rPr>
          <w:rFonts w:ascii="SimSun" w:hAnsi="SimSun" w:eastAsia="SimSun"/>
        </w:rPr>
        <w:t xml:space="preserve"> 已按发明名称、术语、背景技术、技术问题、S1–S8、权利要求 1、各从属权逐条列出建议措辞。确认方向后即可动笔。</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imSun" w:hAnsi="SimSun" w:eastAsia="SimSun"/>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