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sz w:val="32"/>
        </w:rP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820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总体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82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/>
          <w:sz w:val="20"/>
        </w:rPr>
        <w:t>图 1　总体流程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06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可通行空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0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/>
          <w:sz w:val="20"/>
        </w:rPr>
        <w:t>图 2　可通行空间构建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48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候选站位与距离层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48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/>
          <w:sz w:val="20"/>
        </w:rPr>
        <w:t>图 3　候选补充扫描站位与距离层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2099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在线遮挡发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0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/>
          <w:sz w:val="20"/>
        </w:rPr>
        <w:t>图 4　在线发现模型外遮挡物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5723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等代价边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7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/>
          <w:sz w:val="20"/>
        </w:rPr>
        <w:t>图 5　剩余预算的等代价边界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8022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目标分块选取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0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/>
          <w:sz w:val="20"/>
        </w:rPr>
        <w:t>图 6　有缺口构件的目标表面分块选取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