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9A97" w14:textId="77777777" w:rsidR="005D41A8" w:rsidRPr="00AF7911" w:rsidRDefault="005D41A8" w:rsidP="005D41A8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4097C9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  <w:r w:rsidRPr="00AF79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  <w:object w:dxaOrig="7110" w:dyaOrig="8565" w14:anchorId="335EA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79.8pt" o:ole="">
            <v:imagedata r:id="rId5" o:title=""/>
          </v:shape>
          <o:OLEObject Type="Embed" ProgID="Word.Picture.8" ShapeID="_x0000_i1025" DrawAspect="Content" ObjectID="_1808643543" r:id="rId6"/>
        </w:object>
      </w:r>
    </w:p>
    <w:p w14:paraId="250BA70E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4B147DEE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6C2FF5FD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06FCE5A6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2F02B2CD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15921D5F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217D7026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t-IT"/>
        </w:rPr>
      </w:pPr>
    </w:p>
    <w:p w14:paraId="644422D7" w14:textId="77777777" w:rsidR="005D41A8" w:rsidRDefault="005D41A8" w:rsidP="005D41A8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Rapporto di prova n°31</w:t>
      </w:r>
    </w:p>
    <w:p w14:paraId="24F9856C" w14:textId="794A0A09" w:rsidR="005D41A8" w:rsidRDefault="005D41A8" w:rsidP="005D41A8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Formazione di biofilm in reattori da 1 L a diversa velocità di flusso e diversa età de</w:t>
      </w:r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 xml:space="preserve">l biofilm: prove di distacco dei </w:t>
      </w:r>
      <w:proofErr w:type="spellStart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biodisperdenti</w:t>
      </w:r>
      <w:proofErr w:type="spellEnd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:</w:t>
      </w:r>
      <w:r w:rsidRPr="00C2798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 xml:space="preserve"> </w:t>
      </w:r>
      <w:proofErr w:type="spellStart"/>
      <w:r w:rsidR="00C27982" w:rsidRPr="00C2798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Disp.</w:t>
      </w:r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T</w:t>
      </w:r>
      <w:proofErr w:type="spellEnd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 xml:space="preserve"> + </w:t>
      </w:r>
      <w:proofErr w:type="gramStart"/>
      <w:r w:rsidR="00C2798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B.</w:t>
      </w:r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40;UTW</w:t>
      </w:r>
      <w:proofErr w:type="gramEnd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 xml:space="preserve"> </w:t>
      </w:r>
      <w:proofErr w:type="gramStart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>117;CH</w:t>
      </w:r>
      <w:proofErr w:type="gramEnd"/>
      <w:r w:rsidR="00E837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  <w:t xml:space="preserve"> 7464</w:t>
      </w:r>
    </w:p>
    <w:p w14:paraId="1380489E" w14:textId="77777777" w:rsidR="005D41A8" w:rsidRPr="00585642" w:rsidRDefault="005D41A8" w:rsidP="005D41A8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  <w:lang w:eastAsia="it-IT"/>
        </w:rPr>
        <w:t>Biofilm 10</w:t>
      </w:r>
      <w:r w:rsidR="00E83752"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  <w:lang w:eastAsia="it-IT"/>
        </w:rPr>
        <w:t xml:space="preserve"> </w:t>
      </w:r>
      <w:r w:rsidR="00F0631D"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  <w:lang w:eastAsia="it-IT"/>
        </w:rPr>
        <w:t>e 20</w:t>
      </w:r>
      <w:r>
        <w:rPr>
          <w:rFonts w:ascii="Times New Roman" w:eastAsia="Times New Roman" w:hAnsi="Times New Roman" w:cs="Times New Roman"/>
          <w:bCs/>
          <w:i/>
          <w:color w:val="000000"/>
          <w:sz w:val="40"/>
          <w:szCs w:val="40"/>
          <w:lang w:eastAsia="it-IT"/>
        </w:rPr>
        <w:t xml:space="preserve"> giorni (agitatore rotante).</w:t>
      </w:r>
    </w:p>
    <w:p w14:paraId="3B6E9AB5" w14:textId="77777777" w:rsidR="005D41A8" w:rsidRPr="00114A3B" w:rsidRDefault="005D41A8" w:rsidP="005D41A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  <w:t>(fonte carboniosa 20,8 mg/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  <w:t>L</w:t>
      </w:r>
      <w:r>
        <w:rPr>
          <w:rFonts w:ascii="Calibri" w:eastAsia="Calibri" w:hAnsi="Calibri" w:cs="Times New Roman"/>
          <w:i/>
          <w:iCs/>
          <w:color w:val="000000"/>
          <w:sz w:val="23"/>
          <w:szCs w:val="23"/>
        </w:rPr>
        <w:t>•</w:t>
      </w:r>
      <w:r>
        <w:rPr>
          <w:rFonts w:ascii="Times New Roman" w:eastAsia="Calibri" w:hAnsi="Times New Roman" w:cs="Times New Roman"/>
          <w:i/>
          <w:iCs/>
          <w:color w:val="000000"/>
          <w:sz w:val="23"/>
          <w:szCs w:val="23"/>
        </w:rPr>
        <w:t>d</w:t>
      </w:r>
      <w:proofErr w:type="spellEnd"/>
      <w:r w:rsidRPr="00A91968">
        <w:rPr>
          <w:rFonts w:ascii="Times New Roman" w:eastAsia="Calibri" w:hAnsi="Times New Roman" w:cs="Times New Roman"/>
          <w:color w:val="000000"/>
          <w:sz w:val="23"/>
          <w:szCs w:val="23"/>
        </w:rPr>
        <w:t>)</w:t>
      </w:r>
    </w:p>
    <w:p w14:paraId="1D31EC45" w14:textId="77777777" w:rsidR="005D41A8" w:rsidRPr="00A91968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</w:p>
    <w:p w14:paraId="1F41D6BB" w14:textId="77777777" w:rsidR="005D41A8" w:rsidRPr="00A91968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91968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                </w:t>
      </w:r>
    </w:p>
    <w:p w14:paraId="3BD7783C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AF7911">
        <w:rPr>
          <w:rFonts w:ascii="Times New Roman" w:eastAsia="Times New Roman" w:hAnsi="Times New Roman" w:cs="Times New Roman"/>
          <w:sz w:val="28"/>
          <w:szCs w:val="28"/>
          <w:lang w:eastAsia="it-IT"/>
        </w:rPr>
        <w:t>Giuseppe Cuomo, Val</w:t>
      </w:r>
      <w:r w:rsidR="00E83752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ter </w:t>
      </w:r>
      <w:proofErr w:type="spellStart"/>
      <w:r w:rsidR="00E83752">
        <w:rPr>
          <w:rFonts w:ascii="Times New Roman" w:eastAsia="Times New Roman" w:hAnsi="Times New Roman" w:cs="Times New Roman"/>
          <w:sz w:val="28"/>
          <w:szCs w:val="28"/>
          <w:lang w:eastAsia="it-IT"/>
        </w:rPr>
        <w:t>Tandoi</w:t>
      </w:r>
      <w:proofErr w:type="spellEnd"/>
      <w:r w:rsidR="00E83752">
        <w:rPr>
          <w:rFonts w:ascii="Times New Roman" w:eastAsia="Times New Roman" w:hAnsi="Times New Roman" w:cs="Times New Roman"/>
          <w:sz w:val="28"/>
          <w:szCs w:val="28"/>
          <w:lang w:eastAsia="it-IT"/>
        </w:rPr>
        <w:t>, Luciana Di Gregorio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,</w:t>
      </w:r>
      <w:r w:rsidRPr="00AF7911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Simona Rossetti</w:t>
      </w:r>
    </w:p>
    <w:p w14:paraId="542C6765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4687601D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27F0AE1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6ED14B7A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6E497D2E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14544347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7FA5AE1E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12159F00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62817E44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1CD5EA8B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593A94A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1CD27113" w14:textId="77777777" w:rsidR="005D41A8" w:rsidRPr="00AF7911" w:rsidRDefault="005D41A8" w:rsidP="005D41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0489CAD" w14:textId="77777777" w:rsidR="005D41A8" w:rsidRPr="00AF7911" w:rsidRDefault="005D41A8" w:rsidP="005D41A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AF7911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Marzo</w:t>
      </w:r>
      <w:r w:rsidR="00E8375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-</w:t>
      </w:r>
      <w:proofErr w:type="gramStart"/>
      <w:r w:rsidR="00E8375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Aprile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 2017</w:t>
      </w:r>
      <w:proofErr w:type="gramEnd"/>
      <w:r w:rsidRPr="00AF7911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</w:t>
      </w:r>
    </w:p>
    <w:p w14:paraId="0CAF6A39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8ACA39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7CCB6B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94921F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B6AFB0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7ED9AB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7129B8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5A6550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ED9670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B12180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5F0B09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372273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3168E0" w14:textId="77777777" w:rsidR="005D41A8" w:rsidRPr="00AF7911" w:rsidRDefault="005D41A8" w:rsidP="005D41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it-IT"/>
        </w:rPr>
      </w:pPr>
    </w:p>
    <w:p w14:paraId="0D911DB7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r w:rsidRPr="00AF7911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Introduzione</w:t>
      </w:r>
    </w:p>
    <w:p w14:paraId="132D9BC6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BDA770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>Presso i laboratori del CNR-IRSA a Monterotondo, sono state condotte prove per valutare il contenimento della crescita e dell’adesione batterica sotto forma di biofilm.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fine di avere un biofilm più consistente e maggiormente adeso è stata messa a punto una procedura, che prevede il mantenimento di un bioreattore continuo SBR (10 L con età del fango pari a 100 g) dal quale prelevare la biomassa per l’esecuzione delle prove di adesione/distacco. </w:t>
      </w:r>
    </w:p>
    <w:p w14:paraId="21CD497C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Formazione del biofilm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Sono stati allestiti tre reattori da 1 L inoculati con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biomassa del reattore</w:t>
      </w:r>
      <w:r w:rsidR="00751FE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fonte di inoculo (report 28) alimentato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SBR e portati a 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</w:t>
      </w:r>
      <w:r w:rsidR="00E8375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volume con acqua di pozzo. È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stata immessa ogni giorno una quantità</w:t>
      </w: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fonte carboniosa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(glucosio) di 17 mg (18,8 mg/L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)  con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nutrienti bilanciati (azoto e fosforo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COD:N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:P 200:5:1). </w:t>
      </w:r>
    </w:p>
    <w:p w14:paraId="5B88CCB2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2) </w:t>
      </w:r>
      <w:r w:rsidRPr="004C1C2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Turbolenza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 Dato che nelle prove precedenti si ottenevano alti valori di distacco (anche ne</w:t>
      </w:r>
      <w:r w:rsidR="00E8375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 bianco maggiori dell’80%) si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esaminato l’effetto della turbolenza sulla compattezza del biofilm formato. Si sono pertanto utilizzate tre diverse velocità di rotazione ovvero 250, 750 e 1250 rpm utilizzando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un ancoretta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magnetica delle dimensioni di 2,4 x 0,4 cm. Si sono posizionati i vetrini</w:t>
      </w:r>
      <w:r w:rsidR="00E8375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verticalmente all’interno dei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reattori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1).</w:t>
      </w:r>
      <w:r w:rsidR="00E8375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volta trovato che a 1250 rpm si ottenevano biofilm migliori, si è impostata quest’ultima come velocità di rotazione uguale per tutti e si sono testate altre variazioni come la quantità diversa di azoto e fosforo (10 volte maggiore rispetto al normale) e una età maggiore del biofilm (20 g). </w:t>
      </w:r>
    </w:p>
    <w:p w14:paraId="2A21C0C7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ED4C49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947CFE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208BC21D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2CA2A1F6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762C2285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16354573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14B60D72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272E7887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3CD289AB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73F8288E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1238BBB6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2585ECCA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1DD9D9A7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497F8E18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3D7B11ED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356B7775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76D28C7B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066447BE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5020FDA5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1CAF7092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640A5E99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7CDC0758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lastRenderedPageBreak/>
        <w:t xml:space="preserve">1 </w:t>
      </w:r>
      <w:r w:rsidRPr="00AF7911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Materiali e metodi</w:t>
      </w:r>
    </w:p>
    <w:p w14:paraId="2012AD29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</w:p>
    <w:p w14:paraId="0789D0D8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Sono stati immessi 100</w:t>
      </w: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acqua del reattore SBR in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beaker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si è portato a 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volume con acqua di pozzo, sono stati additivati ogni giorno in questo modo:</w:t>
      </w:r>
    </w:p>
    <w:p w14:paraId="054AAD8C" w14:textId="77777777" w:rsidR="00883934" w:rsidRDefault="00883934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F07F9F" w14:textId="77777777" w:rsidR="005D41A8" w:rsidRPr="00751FEB" w:rsidRDefault="00883934" w:rsidP="005D41A8">
      <w:pPr>
        <w:spacing w:after="0" w:line="240" w:lineRule="auto"/>
        <w:jc w:val="both"/>
        <w:rPr>
          <w:i/>
        </w:rPr>
      </w:pPr>
      <w:r>
        <w:rPr>
          <w:b/>
        </w:rPr>
        <w:t>Tabella 1:</w:t>
      </w:r>
      <w:r w:rsidR="00751FEB">
        <w:t xml:space="preserve"> </w:t>
      </w:r>
      <w:r w:rsidR="00751FEB">
        <w:rPr>
          <w:i/>
        </w:rPr>
        <w:t>Alimentazione reattori con nutrienti bilanciati (200:5:1)</w:t>
      </w:r>
    </w:p>
    <w:p w14:paraId="515CAD3C" w14:textId="77777777" w:rsidR="00883934" w:rsidRDefault="00883934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Sfondochiaro-Color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24"/>
        <w:gridCol w:w="1604"/>
        <w:gridCol w:w="1755"/>
        <w:gridCol w:w="1592"/>
        <w:gridCol w:w="1189"/>
      </w:tblGrid>
      <w:tr w:rsidR="005D41A8" w14:paraId="47194C00" w14:textId="77777777" w:rsidTr="00A96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6EB2A8" w14:textId="77777777" w:rsidR="005D41A8" w:rsidRDefault="005D41A8" w:rsidP="00A969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Soluzione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C8CB66" w14:textId="77777777" w:rsidR="005D41A8" w:rsidRDefault="005D41A8" w:rsidP="00A969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Volume acqua</w:t>
            </w:r>
          </w:p>
        </w:tc>
        <w:tc>
          <w:tcPr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2FBEFB" w14:textId="77777777" w:rsidR="005D41A8" w:rsidRDefault="005D41A8" w:rsidP="00A969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Quantità composto</w:t>
            </w:r>
          </w:p>
        </w:tc>
        <w:tc>
          <w:tcPr>
            <w:tcW w:w="1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BE5C20" w14:textId="77777777" w:rsidR="005D41A8" w:rsidRDefault="005D41A8" w:rsidP="00A969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Quantità elemento</w:t>
            </w:r>
          </w:p>
        </w:tc>
        <w:tc>
          <w:tcPr>
            <w:tcW w:w="15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E139A1" w14:textId="77777777" w:rsidR="005D41A8" w:rsidRDefault="005D41A8" w:rsidP="00A969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Volume soluzione per giorno</w:t>
            </w:r>
          </w:p>
        </w:tc>
        <w:tc>
          <w:tcPr>
            <w:tcW w:w="1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6CA596" w14:textId="77777777" w:rsidR="005D41A8" w:rsidRDefault="005D41A8" w:rsidP="00A969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Massa aggiunta al giorno</w:t>
            </w:r>
          </w:p>
        </w:tc>
      </w:tr>
      <w:tr w:rsidR="005D41A8" w14:paraId="5B5E1667" w14:textId="77777777" w:rsidTr="00A96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left w:val="none" w:sz="0" w:space="0" w:color="auto"/>
              <w:right w:val="none" w:sz="0" w:space="0" w:color="auto"/>
            </w:tcBorders>
          </w:tcPr>
          <w:p w14:paraId="3085740B" w14:textId="77777777" w:rsidR="005D41A8" w:rsidRPr="00BE5D03" w:rsidRDefault="005D41A8" w:rsidP="005D41A8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Glucosio (10 mg/L)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14:paraId="0AC18DE2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  <w:tcBorders>
              <w:left w:val="none" w:sz="0" w:space="0" w:color="auto"/>
              <w:right w:val="none" w:sz="0" w:space="0" w:color="auto"/>
            </w:tcBorders>
          </w:tcPr>
          <w:p w14:paraId="3E6CE04F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 mg</w:t>
            </w:r>
          </w:p>
        </w:tc>
        <w:tc>
          <w:tcPr>
            <w:tcW w:w="1755" w:type="dxa"/>
            <w:tcBorders>
              <w:left w:val="none" w:sz="0" w:space="0" w:color="auto"/>
              <w:right w:val="none" w:sz="0" w:space="0" w:color="auto"/>
            </w:tcBorders>
          </w:tcPr>
          <w:p w14:paraId="71E5FBEE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592" w:type="dxa"/>
            <w:tcBorders>
              <w:left w:val="none" w:sz="0" w:space="0" w:color="auto"/>
              <w:right w:val="none" w:sz="0" w:space="0" w:color="auto"/>
            </w:tcBorders>
          </w:tcPr>
          <w:p w14:paraId="1EFED35F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1,67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189" w:type="dxa"/>
            <w:tcBorders>
              <w:left w:val="none" w:sz="0" w:space="0" w:color="auto"/>
              <w:right w:val="none" w:sz="0" w:space="0" w:color="auto"/>
            </w:tcBorders>
          </w:tcPr>
          <w:p w14:paraId="30FFAB5F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16,7 mg</w:t>
            </w:r>
          </w:p>
        </w:tc>
      </w:tr>
      <w:tr w:rsidR="005D41A8" w14:paraId="69D75A8B" w14:textId="77777777" w:rsidTr="00A96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38E64C7" w14:textId="77777777" w:rsidR="005D41A8" w:rsidRPr="00BE5D03" w:rsidRDefault="005D41A8" w:rsidP="005D41A8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Cl</w:t>
            </w:r>
          </w:p>
        </w:tc>
        <w:tc>
          <w:tcPr>
            <w:tcW w:w="1524" w:type="dxa"/>
          </w:tcPr>
          <w:p w14:paraId="48BD0DB2" w14:textId="77777777" w:rsidR="005D41A8" w:rsidRDefault="005D41A8" w:rsidP="00A969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</w:tcPr>
          <w:p w14:paraId="17C3329E" w14:textId="77777777" w:rsidR="005D41A8" w:rsidRDefault="005D41A8" w:rsidP="00A969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1,72 g</w:t>
            </w:r>
          </w:p>
        </w:tc>
        <w:tc>
          <w:tcPr>
            <w:tcW w:w="1755" w:type="dxa"/>
          </w:tcPr>
          <w:p w14:paraId="36799FC8" w14:textId="77777777" w:rsidR="005D41A8" w:rsidRDefault="005D41A8" w:rsidP="00A969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452,6 mg di N</w:t>
            </w:r>
          </w:p>
        </w:tc>
        <w:tc>
          <w:tcPr>
            <w:tcW w:w="1592" w:type="dxa"/>
          </w:tcPr>
          <w:p w14:paraId="72F380F6" w14:textId="77777777" w:rsidR="005D41A8" w:rsidRDefault="005D41A8" w:rsidP="00A969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μL</w:t>
            </w:r>
            <w:proofErr w:type="spellEnd"/>
          </w:p>
        </w:tc>
        <w:tc>
          <w:tcPr>
            <w:tcW w:w="1189" w:type="dxa"/>
          </w:tcPr>
          <w:p w14:paraId="02A75E3F" w14:textId="77777777" w:rsidR="005D41A8" w:rsidRDefault="005D41A8" w:rsidP="00A969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0,45 mg di N</w:t>
            </w:r>
          </w:p>
        </w:tc>
      </w:tr>
      <w:tr w:rsidR="005D41A8" w14:paraId="33E81DB4" w14:textId="77777777" w:rsidTr="00A96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left w:val="none" w:sz="0" w:space="0" w:color="auto"/>
              <w:right w:val="none" w:sz="0" w:space="0" w:color="auto"/>
            </w:tcBorders>
          </w:tcPr>
          <w:p w14:paraId="05B98787" w14:textId="77777777" w:rsidR="005D41A8" w:rsidRPr="00BE5D03" w:rsidRDefault="005D41A8" w:rsidP="005D41A8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KPO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14:paraId="39910848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  <w:tcBorders>
              <w:left w:val="none" w:sz="0" w:space="0" w:color="auto"/>
              <w:right w:val="none" w:sz="0" w:space="0" w:color="auto"/>
            </w:tcBorders>
          </w:tcPr>
          <w:p w14:paraId="0BF77B84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435 mg</w:t>
            </w:r>
          </w:p>
        </w:tc>
        <w:tc>
          <w:tcPr>
            <w:tcW w:w="1755" w:type="dxa"/>
            <w:tcBorders>
              <w:left w:val="none" w:sz="0" w:space="0" w:color="auto"/>
              <w:right w:val="none" w:sz="0" w:space="0" w:color="auto"/>
            </w:tcBorders>
          </w:tcPr>
          <w:p w14:paraId="304A23C3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 mg di P</w:t>
            </w:r>
          </w:p>
        </w:tc>
        <w:tc>
          <w:tcPr>
            <w:tcW w:w="1592" w:type="dxa"/>
            <w:tcBorders>
              <w:left w:val="none" w:sz="0" w:space="0" w:color="auto"/>
              <w:right w:val="none" w:sz="0" w:space="0" w:color="auto"/>
            </w:tcBorders>
          </w:tcPr>
          <w:p w14:paraId="274ABB25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μL</w:t>
            </w:r>
            <w:proofErr w:type="spellEnd"/>
          </w:p>
        </w:tc>
        <w:tc>
          <w:tcPr>
            <w:tcW w:w="1189" w:type="dxa"/>
            <w:tcBorders>
              <w:left w:val="none" w:sz="0" w:space="0" w:color="auto"/>
              <w:right w:val="none" w:sz="0" w:space="0" w:color="auto"/>
            </w:tcBorders>
          </w:tcPr>
          <w:p w14:paraId="78FA42F8" w14:textId="77777777" w:rsidR="005D41A8" w:rsidRDefault="005D41A8" w:rsidP="00A969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0,1 mg di P</w:t>
            </w:r>
          </w:p>
        </w:tc>
      </w:tr>
    </w:tbl>
    <w:p w14:paraId="2267A20A" w14:textId="77777777" w:rsidR="005D41A8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C02947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>vetrini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stati inseriti in questi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beaker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tenendoli sospesi con un supporto apposito in modo che fossero posizionati verticalmente all’interno (fig1). Sono stati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cosi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allestiti tre reattori tenuti</w:t>
      </w: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costantemen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te sotto agitazione magnetica a due diverse velocità ovvero 250, 1250 rpm. La prova è stata svolta a temperatura ambiente.</w:t>
      </w: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72FC8C37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9C0AE5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F791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0B62C52" wp14:editId="77CF3188">
            <wp:extent cx="3705225" cy="2247900"/>
            <wp:effectExtent l="0" t="0" r="9525" b="0"/>
            <wp:docPr id="1" name="Immagine 1" descr="H:\Prova di adesione biofilm reattori batch\Reattori 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rova di adesione biofilm reattori batch\Reattori ba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E934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proofErr w:type="spellStart"/>
      <w:r w:rsidRPr="00EB2D07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Fig</w:t>
      </w:r>
      <w:proofErr w:type="spellEnd"/>
      <w:r w:rsidRPr="00EB2D07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1: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Allestimento della prova batch</w:t>
      </w:r>
    </w:p>
    <w:p w14:paraId="28B14CF4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E1F70C" w14:textId="77777777" w:rsidR="005D41A8" w:rsidRPr="00AF7911" w:rsidRDefault="005D41A8" w:rsidP="005D41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4"/>
          <w:lang w:eastAsia="it-IT"/>
        </w:rPr>
      </w:pPr>
    </w:p>
    <w:p w14:paraId="3A303CF9" w14:textId="77777777" w:rsidR="005D41A8" w:rsidRDefault="005D41A8" w:rsidP="005D41A8">
      <w:pPr>
        <w:jc w:val="both"/>
      </w:pPr>
      <w:r>
        <w:t xml:space="preserve">Le prove di distacco sono state eseguite secondo questa procedura: </w:t>
      </w:r>
    </w:p>
    <w:p w14:paraId="679FEA3B" w14:textId="77777777" w:rsidR="005D41A8" w:rsidRDefault="005D41A8" w:rsidP="005D41A8">
      <w:pPr>
        <w:pStyle w:val="Paragrafoelenco"/>
        <w:numPr>
          <w:ilvl w:val="0"/>
          <w:numId w:val="1"/>
        </w:numPr>
        <w:jc w:val="both"/>
      </w:pPr>
      <w:r>
        <w:t>Un</w:t>
      </w:r>
      <w:r w:rsidR="00E83752">
        <w:t>a volta formato il biofilm (10 e 20 g</w:t>
      </w:r>
      <w:r>
        <w:t xml:space="preserve">) 1 vetrino ricoperto da biomassa è stato messo in una </w:t>
      </w:r>
      <w:proofErr w:type="gramStart"/>
      <w:r>
        <w:t xml:space="preserve">provetta  </w:t>
      </w:r>
      <w:proofErr w:type="spellStart"/>
      <w:r>
        <w:t>falcon</w:t>
      </w:r>
      <w:proofErr w:type="spellEnd"/>
      <w:proofErr w:type="gramEnd"/>
      <w:r>
        <w:t xml:space="preserve"> contenente 40 </w:t>
      </w:r>
      <w:proofErr w:type="spellStart"/>
      <w:r>
        <w:t>mL</w:t>
      </w:r>
      <w:proofErr w:type="spellEnd"/>
      <w:r>
        <w:t xml:space="preserve"> di acqua di </w:t>
      </w:r>
      <w:proofErr w:type="gramStart"/>
      <w:r>
        <w:t>pozzo,  ad</w:t>
      </w:r>
      <w:proofErr w:type="gramEnd"/>
      <w:r>
        <w:t xml:space="preserve"> evitare eventuali effetti osmotici impiegando acqua fisiologica o distillata.  È stato aggiunto il </w:t>
      </w:r>
      <w:proofErr w:type="spellStart"/>
      <w:r>
        <w:t>biodisperdente</w:t>
      </w:r>
      <w:proofErr w:type="spellEnd"/>
      <w:r>
        <w:t xml:space="preserve"> alla concentrazione di 10 ppm (1,6 </w:t>
      </w:r>
      <w:proofErr w:type="spellStart"/>
      <w:r>
        <w:t>μL</w:t>
      </w:r>
      <w:proofErr w:type="spellEnd"/>
      <w:r>
        <w:t xml:space="preserve"> di tal quale al 25% in 40 </w:t>
      </w:r>
      <w:proofErr w:type="spellStart"/>
      <w:r>
        <w:t>mL</w:t>
      </w:r>
      <w:proofErr w:type="spellEnd"/>
      <w:r>
        <w:t xml:space="preserve"> di acqua di pozzo). La provetta è stata poi posta su un sistema di rotazione continuo per 35 min </w:t>
      </w:r>
      <w:r w:rsidRPr="0024128A">
        <w:t>(inclinato a 45° e alla velocità di 35 rpm)</w:t>
      </w:r>
      <w:r>
        <w:t>, monitorando la torbidità della sospensione nel tempo (agitando la provetta e prelevando rapidamente e inserendolo nella cuvetta    aspettando 3 seco</w:t>
      </w:r>
      <w:r w:rsidR="00E83752">
        <w:t>ndi prima della lettura</w:t>
      </w:r>
      <w:r>
        <w:t xml:space="preserve">). La prova è stata eseguita in quadruplicato. </w:t>
      </w:r>
    </w:p>
    <w:p w14:paraId="03E2DA51" w14:textId="77777777" w:rsidR="003D5CA3" w:rsidRDefault="003D5CA3" w:rsidP="003D5CA3">
      <w:pPr>
        <w:jc w:val="both"/>
      </w:pPr>
    </w:p>
    <w:p w14:paraId="7518D5FE" w14:textId="77777777" w:rsidR="003D5CA3" w:rsidRDefault="003D5CA3" w:rsidP="003D5CA3">
      <w:pPr>
        <w:jc w:val="both"/>
      </w:pPr>
    </w:p>
    <w:p w14:paraId="7CE9C819" w14:textId="77777777" w:rsidR="005D41A8" w:rsidRDefault="005D41A8" w:rsidP="005D41A8">
      <w:pPr>
        <w:jc w:val="both"/>
        <w:rPr>
          <w:b/>
          <w:sz w:val="36"/>
          <w:szCs w:val="36"/>
        </w:rPr>
      </w:pPr>
      <w:r w:rsidRPr="00AD233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Risultati Sperimentali</w:t>
      </w:r>
    </w:p>
    <w:p w14:paraId="2FAE7226" w14:textId="77777777" w:rsidR="005D41A8" w:rsidRDefault="005D41A8" w:rsidP="005D41A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2.1 Reattori a diverse velocità</w:t>
      </w:r>
    </w:p>
    <w:p w14:paraId="525DFA70" w14:textId="77777777" w:rsidR="005D41A8" w:rsidRDefault="005D41A8" w:rsidP="005D41A8">
      <w:pPr>
        <w:jc w:val="both"/>
      </w:pPr>
      <w:r w:rsidRPr="00AD2334">
        <w:t xml:space="preserve">I tre reattori preparati come detto nel paragrafo precedente sono stati monitorati nel tempo seguendo il </w:t>
      </w:r>
      <w:proofErr w:type="gramStart"/>
      <w:r w:rsidRPr="00AD2334">
        <w:t>pH ,</w:t>
      </w:r>
      <w:proofErr w:type="gramEnd"/>
      <w:r w:rsidRPr="00AD2334">
        <w:t xml:space="preserve"> la temperatura e la torbidità. </w:t>
      </w:r>
      <w:proofErr w:type="gramStart"/>
      <w:r>
        <w:t>Inoltre</w:t>
      </w:r>
      <w:proofErr w:type="gramEnd"/>
      <w:r>
        <w:t xml:space="preserve"> al </w:t>
      </w:r>
      <w:r w:rsidR="00E83752">
        <w:t xml:space="preserve">tempo zero sono stati eseguiti </w:t>
      </w:r>
      <w:r>
        <w:t xml:space="preserve">COD </w:t>
      </w:r>
      <w:proofErr w:type="gramStart"/>
      <w:r>
        <w:t xml:space="preserve">e </w:t>
      </w:r>
      <w:r w:rsidRPr="00AD2334">
        <w:t xml:space="preserve"> peso</w:t>
      </w:r>
      <w:proofErr w:type="gramEnd"/>
      <w:r w:rsidRPr="00AD2334">
        <w:t xml:space="preserve"> </w:t>
      </w:r>
      <w:proofErr w:type="gramStart"/>
      <w:r w:rsidRPr="00AD2334">
        <w:t>secco</w:t>
      </w:r>
      <w:r>
        <w:t xml:space="preserve">, </w:t>
      </w:r>
      <w:r w:rsidRPr="00AD2334">
        <w:t xml:space="preserve"> ripetuti</w:t>
      </w:r>
      <w:proofErr w:type="gramEnd"/>
      <w:r>
        <w:t xml:space="preserve"> poi </w:t>
      </w:r>
      <w:r w:rsidRPr="00AD2334">
        <w:t xml:space="preserve">all’interruzione della prova </w:t>
      </w:r>
      <w:r>
        <w:t>(</w:t>
      </w:r>
      <w:r w:rsidR="0051056C">
        <w:t>dopo 11</w:t>
      </w:r>
      <w:r w:rsidRPr="00AD2334">
        <w:t xml:space="preserve"> giorni</w:t>
      </w:r>
      <w:r w:rsidR="0051056C">
        <w:t xml:space="preserve"> e il reattore C dopo 20 giorni</w:t>
      </w:r>
      <w:r>
        <w:t>)</w:t>
      </w:r>
      <w:r w:rsidRPr="00AD2334">
        <w:t>.</w:t>
      </w:r>
      <w:r w:rsidR="00F741EB">
        <w:t xml:space="preserve"> La tabella 2</w:t>
      </w:r>
      <w:r>
        <w:t xml:space="preserve"> mostra il bilancio di massa dei tre reattori al tempo finale.</w:t>
      </w:r>
    </w:p>
    <w:p w14:paraId="6021E781" w14:textId="77777777" w:rsidR="003D5CA3" w:rsidRDefault="003D5CA3" w:rsidP="005D41A8">
      <w:pPr>
        <w:jc w:val="both"/>
      </w:pPr>
    </w:p>
    <w:p w14:paraId="7A5D8455" w14:textId="77777777" w:rsidR="005D41A8" w:rsidRPr="00A52237" w:rsidRDefault="00883934" w:rsidP="005D41A8">
      <w:pPr>
        <w:jc w:val="both"/>
        <w:rPr>
          <w:i/>
        </w:rPr>
      </w:pPr>
      <w:r>
        <w:rPr>
          <w:b/>
        </w:rPr>
        <w:t xml:space="preserve">Tabella </w:t>
      </w:r>
      <w:proofErr w:type="gramStart"/>
      <w:r>
        <w:rPr>
          <w:b/>
        </w:rPr>
        <w:t>2</w:t>
      </w:r>
      <w:r w:rsidR="005D41A8">
        <w:rPr>
          <w:b/>
        </w:rPr>
        <w:t xml:space="preserve"> :</w:t>
      </w:r>
      <w:proofErr w:type="gramEnd"/>
      <w:r w:rsidR="005D41A8">
        <w:rPr>
          <w:b/>
        </w:rPr>
        <w:t xml:space="preserve"> </w:t>
      </w:r>
      <w:r w:rsidR="005D41A8">
        <w:rPr>
          <w:i/>
        </w:rPr>
        <w:t xml:space="preserve">Bilancio di massa </w:t>
      </w:r>
      <w:proofErr w:type="gramStart"/>
      <w:r w:rsidR="005D41A8">
        <w:rPr>
          <w:i/>
        </w:rPr>
        <w:t>su i</w:t>
      </w:r>
      <w:proofErr w:type="gramEnd"/>
      <w:r w:rsidR="005D41A8">
        <w:rPr>
          <w:i/>
        </w:rPr>
        <w:t xml:space="preserve"> tre reattori batch</w:t>
      </w:r>
    </w:p>
    <w:tbl>
      <w:tblPr>
        <w:tblStyle w:val="Sfondochiaro-Color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206"/>
        <w:gridCol w:w="1195"/>
        <w:gridCol w:w="1433"/>
        <w:gridCol w:w="1274"/>
        <w:gridCol w:w="1456"/>
        <w:gridCol w:w="1047"/>
        <w:gridCol w:w="934"/>
      </w:tblGrid>
      <w:tr w:rsidR="00883934" w:rsidRPr="00883934" w14:paraId="73BC546A" w14:textId="77777777" w:rsidTr="00883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0AAB56D" w14:textId="77777777" w:rsidR="00883934" w:rsidRPr="00883934" w:rsidRDefault="00883934" w:rsidP="00883934">
            <w:pPr>
              <w:jc w:val="both"/>
            </w:pPr>
            <w:r w:rsidRPr="00883934">
              <w:t>Reattore</w:t>
            </w:r>
          </w:p>
        </w:tc>
        <w:tc>
          <w:tcPr>
            <w:tcW w:w="1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FEFCE0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Velocità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37F4F7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Glucosio (mg)</w:t>
            </w:r>
          </w:p>
        </w:tc>
        <w:tc>
          <w:tcPr>
            <w:tcW w:w="2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1BD8E89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3934">
              <w:t>SSi</w:t>
            </w:r>
            <w:proofErr w:type="spellEnd"/>
            <w:r w:rsidRPr="00883934">
              <w:t xml:space="preserve"> (mg)</w:t>
            </w:r>
          </w:p>
        </w:tc>
        <w:tc>
          <w:tcPr>
            <w:tcW w:w="2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11D956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3934">
              <w:t>SSf</w:t>
            </w:r>
            <w:proofErr w:type="spellEnd"/>
            <w:r w:rsidRPr="00883934">
              <w:t xml:space="preserve"> (mg)</w:t>
            </w:r>
          </w:p>
        </w:tc>
        <w:tc>
          <w:tcPr>
            <w:tcW w:w="2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7CBA198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3934">
              <w:t>VSSf</w:t>
            </w:r>
            <w:proofErr w:type="spellEnd"/>
            <w:r w:rsidRPr="00883934">
              <w:t xml:space="preserve"> (mg)</w:t>
            </w:r>
          </w:p>
        </w:tc>
        <w:tc>
          <w:tcPr>
            <w:tcW w:w="1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A031D88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COD (inoculo) (mg/L)</w:t>
            </w:r>
          </w:p>
        </w:tc>
        <w:tc>
          <w:tcPr>
            <w:tcW w:w="1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490D806" w14:textId="77777777" w:rsidR="00883934" w:rsidRPr="00883934" w:rsidRDefault="00883934" w:rsidP="008839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COD (f) (mg/L)</w:t>
            </w:r>
          </w:p>
        </w:tc>
      </w:tr>
      <w:tr w:rsidR="00883934" w:rsidRPr="00883934" w14:paraId="0D70D7D2" w14:textId="77777777" w:rsidTr="0088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1AFF58A0" w14:textId="77777777" w:rsidR="00883934" w:rsidRPr="00883934" w:rsidRDefault="00883934" w:rsidP="00883934">
            <w:pPr>
              <w:jc w:val="both"/>
            </w:pPr>
            <w:r w:rsidRPr="00883934">
              <w:t>A</w:t>
            </w:r>
          </w:p>
        </w:tc>
        <w:tc>
          <w:tcPr>
            <w:tcW w:w="1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F7BE2D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250 rpm</w:t>
            </w:r>
          </w:p>
        </w:tc>
        <w:tc>
          <w:tcPr>
            <w:tcW w:w="19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47AC33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183,7</w:t>
            </w:r>
          </w:p>
        </w:tc>
        <w:tc>
          <w:tcPr>
            <w:tcW w:w="23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17A5F0EE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20</w:t>
            </w: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4188A1D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271,2</w:t>
            </w:r>
          </w:p>
        </w:tc>
        <w:tc>
          <w:tcPr>
            <w:tcW w:w="240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C776874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120,4</w:t>
            </w:r>
          </w:p>
        </w:tc>
        <w:tc>
          <w:tcPr>
            <w:tcW w:w="16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1BEF15E4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5,3</w:t>
            </w:r>
          </w:p>
        </w:tc>
        <w:tc>
          <w:tcPr>
            <w:tcW w:w="14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E2786F2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122</w:t>
            </w:r>
          </w:p>
        </w:tc>
      </w:tr>
      <w:tr w:rsidR="00883934" w:rsidRPr="00883934" w14:paraId="4F730274" w14:textId="77777777" w:rsidTr="008839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noWrap/>
            <w:hideMark/>
          </w:tcPr>
          <w:p w14:paraId="3D1447F7" w14:textId="77777777" w:rsidR="00883934" w:rsidRPr="00883934" w:rsidRDefault="00883934" w:rsidP="00883934">
            <w:pPr>
              <w:jc w:val="both"/>
            </w:pPr>
            <w:r w:rsidRPr="00883934">
              <w:t>B</w:t>
            </w:r>
          </w:p>
        </w:tc>
        <w:tc>
          <w:tcPr>
            <w:tcW w:w="1960" w:type="dxa"/>
            <w:noWrap/>
            <w:hideMark/>
          </w:tcPr>
          <w:p w14:paraId="4E199CCE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1250 rpm</w:t>
            </w:r>
          </w:p>
        </w:tc>
        <w:tc>
          <w:tcPr>
            <w:tcW w:w="1940" w:type="dxa"/>
            <w:noWrap/>
            <w:hideMark/>
          </w:tcPr>
          <w:p w14:paraId="47A16F04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183,7</w:t>
            </w:r>
          </w:p>
        </w:tc>
        <w:tc>
          <w:tcPr>
            <w:tcW w:w="2360" w:type="dxa"/>
            <w:noWrap/>
            <w:hideMark/>
          </w:tcPr>
          <w:p w14:paraId="172CC0AD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20</w:t>
            </w:r>
          </w:p>
        </w:tc>
        <w:tc>
          <w:tcPr>
            <w:tcW w:w="2080" w:type="dxa"/>
            <w:noWrap/>
            <w:hideMark/>
          </w:tcPr>
          <w:p w14:paraId="2AE8669E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86,4</w:t>
            </w:r>
          </w:p>
        </w:tc>
        <w:tc>
          <w:tcPr>
            <w:tcW w:w="2400" w:type="dxa"/>
            <w:noWrap/>
            <w:hideMark/>
          </w:tcPr>
          <w:p w14:paraId="30B596F6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46,4</w:t>
            </w:r>
          </w:p>
        </w:tc>
        <w:tc>
          <w:tcPr>
            <w:tcW w:w="1680" w:type="dxa"/>
            <w:noWrap/>
            <w:hideMark/>
          </w:tcPr>
          <w:p w14:paraId="416D33DC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5,3</w:t>
            </w:r>
          </w:p>
        </w:tc>
        <w:tc>
          <w:tcPr>
            <w:tcW w:w="1480" w:type="dxa"/>
            <w:noWrap/>
            <w:hideMark/>
          </w:tcPr>
          <w:p w14:paraId="156B4642" w14:textId="77777777" w:rsidR="00883934" w:rsidRPr="00883934" w:rsidRDefault="00883934" w:rsidP="00883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934">
              <w:t>93,4</w:t>
            </w:r>
          </w:p>
        </w:tc>
      </w:tr>
      <w:tr w:rsidR="00883934" w:rsidRPr="00883934" w14:paraId="5128EB60" w14:textId="77777777" w:rsidTr="0088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A3209FD" w14:textId="77777777" w:rsidR="00883934" w:rsidRPr="00883934" w:rsidRDefault="00883934" w:rsidP="00883934">
            <w:pPr>
              <w:jc w:val="both"/>
            </w:pPr>
            <w:r w:rsidRPr="00883934">
              <w:t>C</w:t>
            </w:r>
          </w:p>
        </w:tc>
        <w:tc>
          <w:tcPr>
            <w:tcW w:w="1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CB5ED53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1250 rpm</w:t>
            </w:r>
          </w:p>
        </w:tc>
        <w:tc>
          <w:tcPr>
            <w:tcW w:w="194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2A5E6EC2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334</w:t>
            </w:r>
          </w:p>
        </w:tc>
        <w:tc>
          <w:tcPr>
            <w:tcW w:w="23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3CBC7A5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20</w:t>
            </w:r>
          </w:p>
        </w:tc>
        <w:tc>
          <w:tcPr>
            <w:tcW w:w="20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BB6BD23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169,6</w:t>
            </w:r>
          </w:p>
        </w:tc>
        <w:tc>
          <w:tcPr>
            <w:tcW w:w="240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C82CA65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93,2</w:t>
            </w:r>
          </w:p>
        </w:tc>
        <w:tc>
          <w:tcPr>
            <w:tcW w:w="16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09B66FF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5,3</w:t>
            </w:r>
          </w:p>
        </w:tc>
        <w:tc>
          <w:tcPr>
            <w:tcW w:w="148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14CB2A78" w14:textId="77777777" w:rsidR="00883934" w:rsidRPr="00883934" w:rsidRDefault="00883934" w:rsidP="00883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934">
              <w:t>187,3</w:t>
            </w:r>
          </w:p>
        </w:tc>
      </w:tr>
    </w:tbl>
    <w:p w14:paraId="1E3ED38C" w14:textId="77777777" w:rsidR="003D5CA3" w:rsidRDefault="003D5CA3" w:rsidP="005D41A8">
      <w:pPr>
        <w:jc w:val="both"/>
      </w:pPr>
    </w:p>
    <w:p w14:paraId="777E318A" w14:textId="53E1F347" w:rsidR="005D41A8" w:rsidRDefault="005D41A8" w:rsidP="005D41A8">
      <w:pPr>
        <w:jc w:val="both"/>
      </w:pPr>
      <w:proofErr w:type="gramStart"/>
      <w:r>
        <w:t>Attraverso inoltre</w:t>
      </w:r>
      <w:proofErr w:type="gramEnd"/>
      <w:r>
        <w:t xml:space="preserve"> le misure di torbidità effettuate a 420 nm è stato possibile valutare la biomassa formatasi sia sui vetri</w:t>
      </w:r>
      <w:r w:rsidR="00F741EB">
        <w:t xml:space="preserve">ni che nei </w:t>
      </w:r>
      <w:proofErr w:type="spellStart"/>
      <w:r w:rsidR="00F741EB">
        <w:t>baeker</w:t>
      </w:r>
      <w:proofErr w:type="spellEnd"/>
      <w:r w:rsidR="00F741EB">
        <w:t>, la tabella 3</w:t>
      </w:r>
      <w:r>
        <w:t xml:space="preserve"> mostra i risultati di tali osservazioni.</w:t>
      </w:r>
    </w:p>
    <w:p w14:paraId="1803DDFF" w14:textId="77777777" w:rsidR="003D5CA3" w:rsidRDefault="003D5CA3" w:rsidP="005D41A8">
      <w:pPr>
        <w:jc w:val="both"/>
      </w:pPr>
    </w:p>
    <w:p w14:paraId="3F3F6C5A" w14:textId="77777777" w:rsidR="005D41A8" w:rsidRPr="00A52237" w:rsidRDefault="00883934" w:rsidP="005D41A8">
      <w:pPr>
        <w:jc w:val="both"/>
        <w:rPr>
          <w:i/>
        </w:rPr>
      </w:pPr>
      <w:r>
        <w:rPr>
          <w:b/>
        </w:rPr>
        <w:t xml:space="preserve">Tabella </w:t>
      </w:r>
      <w:proofErr w:type="gramStart"/>
      <w:r>
        <w:rPr>
          <w:b/>
        </w:rPr>
        <w:t>3</w:t>
      </w:r>
      <w:r w:rsidR="005D41A8">
        <w:rPr>
          <w:b/>
        </w:rPr>
        <w:t xml:space="preserve"> :</w:t>
      </w:r>
      <w:proofErr w:type="gramEnd"/>
      <w:r w:rsidR="005D41A8">
        <w:rPr>
          <w:b/>
        </w:rPr>
        <w:t xml:space="preserve"> </w:t>
      </w:r>
      <w:r w:rsidR="005D41A8">
        <w:rPr>
          <w:i/>
        </w:rPr>
        <w:t>Biomassa misurata in termini di torbidità (420nm) ed espressa in U.A. al termine della prova (10 d) e l’adeso su tutti e 8 i supporti in vetro.</w:t>
      </w:r>
    </w:p>
    <w:p w14:paraId="7F2C7DDA" w14:textId="77777777" w:rsidR="005D41A8" w:rsidRDefault="0051056C" w:rsidP="005D41A8">
      <w:pPr>
        <w:jc w:val="both"/>
      </w:pPr>
      <w:r w:rsidRPr="0051056C">
        <w:rPr>
          <w:noProof/>
          <w:lang w:eastAsia="it-IT"/>
        </w:rPr>
        <w:drawing>
          <wp:inline distT="0" distB="0" distL="0" distR="0" wp14:anchorId="62AC3640" wp14:editId="03AA1B3B">
            <wp:extent cx="6438900" cy="86677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29" cy="8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0722" w14:textId="77777777" w:rsidR="005D41A8" w:rsidRDefault="00E83752" w:rsidP="005D41A8">
      <w:pPr>
        <w:jc w:val="both"/>
      </w:pPr>
      <w:r>
        <w:t xml:space="preserve">Nella figura 2 sono mostrati </w:t>
      </w:r>
      <w:r w:rsidR="005D41A8">
        <w:t xml:space="preserve">gli stessi </w:t>
      </w:r>
      <w:proofErr w:type="gramStart"/>
      <w:r w:rsidR="005D41A8">
        <w:t>dati  in</w:t>
      </w:r>
      <w:proofErr w:type="gramEnd"/>
      <w:r w:rsidR="005D41A8">
        <w:t xml:space="preserve"> un istogramma.</w:t>
      </w:r>
    </w:p>
    <w:p w14:paraId="354F95C5" w14:textId="77777777" w:rsidR="005D41A8" w:rsidRDefault="005D41A8" w:rsidP="005D41A8">
      <w:pPr>
        <w:jc w:val="both"/>
      </w:pPr>
    </w:p>
    <w:p w14:paraId="4931680E" w14:textId="77777777" w:rsidR="005D41A8" w:rsidRDefault="005D41A8" w:rsidP="005D41A8">
      <w:pPr>
        <w:jc w:val="both"/>
      </w:pPr>
    </w:p>
    <w:p w14:paraId="0771B17D" w14:textId="77777777" w:rsidR="005D41A8" w:rsidRDefault="0018527C" w:rsidP="005D41A8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2FE36214" wp14:editId="41366338">
            <wp:extent cx="4584700" cy="2755900"/>
            <wp:effectExtent l="0" t="0" r="635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2B811" w14:textId="77777777" w:rsidR="005D41A8" w:rsidRDefault="00E83752" w:rsidP="005D41A8">
      <w:pPr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2</w:t>
      </w:r>
      <w:r w:rsidR="005D41A8">
        <w:rPr>
          <w:b/>
        </w:rPr>
        <w:t xml:space="preserve">: </w:t>
      </w:r>
      <w:r w:rsidR="005D41A8">
        <w:rPr>
          <w:i/>
        </w:rPr>
        <w:t>Biomassa totale presente nei reattori al termine della prova messa in grafico contro la biomassa adesa su tutti gli 8 vetrini presenti nel reattore espressa attraverso misure di torbidità a 420 nm.</w:t>
      </w:r>
    </w:p>
    <w:p w14:paraId="764C2BBB" w14:textId="77777777" w:rsidR="005D41A8" w:rsidRDefault="005D41A8" w:rsidP="005D41A8">
      <w:pPr>
        <w:jc w:val="both"/>
      </w:pPr>
      <w:r>
        <w:t>Come detto sono stati monitorati nel cor</w:t>
      </w:r>
      <w:r w:rsidR="00164333">
        <w:t>so del tempo la torbidità (</w:t>
      </w:r>
      <w:proofErr w:type="spellStart"/>
      <w:r w:rsidR="00164333">
        <w:t>fig</w:t>
      </w:r>
      <w:proofErr w:type="spellEnd"/>
      <w:r w:rsidR="00164333">
        <w:t xml:space="preserve"> 3), il pH (</w:t>
      </w:r>
      <w:proofErr w:type="spellStart"/>
      <w:r w:rsidR="00164333">
        <w:t>fig</w:t>
      </w:r>
      <w:proofErr w:type="spellEnd"/>
      <w:r w:rsidR="00164333">
        <w:t xml:space="preserve"> 4) e la temperatura (</w:t>
      </w:r>
      <w:proofErr w:type="spellStart"/>
      <w:r w:rsidR="00164333">
        <w:t>fig</w:t>
      </w:r>
      <w:proofErr w:type="spellEnd"/>
      <w:r w:rsidR="00164333">
        <w:t xml:space="preserve"> 5</w:t>
      </w:r>
      <w:r>
        <w:t>) nei tre reattori batch.</w:t>
      </w:r>
    </w:p>
    <w:p w14:paraId="633690AE" w14:textId="77777777" w:rsidR="005D41A8" w:rsidRDefault="00164333" w:rsidP="005D41A8">
      <w:pPr>
        <w:jc w:val="both"/>
      </w:pPr>
      <w:r>
        <w:rPr>
          <w:noProof/>
          <w:lang w:eastAsia="it-IT"/>
        </w:rPr>
        <w:drawing>
          <wp:inline distT="0" distB="0" distL="0" distR="0" wp14:anchorId="5E893FE5" wp14:editId="52652B40">
            <wp:extent cx="5517515" cy="3121660"/>
            <wp:effectExtent l="0" t="0" r="6985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944D8" w14:textId="77777777" w:rsidR="005D41A8" w:rsidRDefault="005D41A8" w:rsidP="005D41A8">
      <w:pPr>
        <w:jc w:val="both"/>
      </w:pPr>
    </w:p>
    <w:p w14:paraId="5EB2DFF1" w14:textId="77777777" w:rsidR="005D41A8" w:rsidRDefault="00164333" w:rsidP="005D41A8">
      <w:pPr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3</w:t>
      </w:r>
      <w:r w:rsidR="005D41A8">
        <w:rPr>
          <w:b/>
        </w:rPr>
        <w:t xml:space="preserve">: </w:t>
      </w:r>
      <w:r w:rsidR="005D41A8">
        <w:rPr>
          <w:i/>
        </w:rPr>
        <w:t>Andamento della Torbidità nel tempo, il punto finale si riferisce alle soluzioni omogenizzate (a causa della presenza di fiocchi di biomassa sospesi).</w:t>
      </w:r>
    </w:p>
    <w:p w14:paraId="0F4619B7" w14:textId="77777777" w:rsidR="005D41A8" w:rsidRDefault="005D41A8" w:rsidP="005D41A8">
      <w:pPr>
        <w:jc w:val="both"/>
      </w:pPr>
    </w:p>
    <w:p w14:paraId="0F5529F2" w14:textId="77777777" w:rsidR="005D41A8" w:rsidRDefault="005D41A8" w:rsidP="005D41A8">
      <w:pPr>
        <w:jc w:val="both"/>
      </w:pPr>
    </w:p>
    <w:p w14:paraId="5136DFB0" w14:textId="77777777" w:rsidR="005D41A8" w:rsidRDefault="00164333" w:rsidP="005D41A8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0E392825" wp14:editId="41C5CA84">
            <wp:extent cx="4801258" cy="288607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96" cy="288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0344F" w14:textId="77777777" w:rsidR="005D41A8" w:rsidRDefault="00164333" w:rsidP="005D41A8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4</w:t>
      </w:r>
      <w:r w:rsidR="005D41A8">
        <w:rPr>
          <w:b/>
        </w:rPr>
        <w:t xml:space="preserve">: </w:t>
      </w:r>
      <w:r w:rsidR="005D41A8">
        <w:rPr>
          <w:i/>
        </w:rPr>
        <w:t xml:space="preserve">Andamento del </w:t>
      </w:r>
      <w:proofErr w:type="gramStart"/>
      <w:r w:rsidR="005D41A8">
        <w:rPr>
          <w:i/>
        </w:rPr>
        <w:t>pH  nel</w:t>
      </w:r>
      <w:proofErr w:type="gramEnd"/>
      <w:r w:rsidR="005D41A8">
        <w:rPr>
          <w:i/>
        </w:rPr>
        <w:t xml:space="preserve"> tempo</w:t>
      </w:r>
      <w:r w:rsidR="005D41A8">
        <w:rPr>
          <w:i/>
        </w:rPr>
        <w:tab/>
      </w:r>
    </w:p>
    <w:p w14:paraId="71539E93" w14:textId="77777777" w:rsidR="005D41A8" w:rsidRDefault="00164333" w:rsidP="005D41A8">
      <w:pPr>
        <w:tabs>
          <w:tab w:val="left" w:pos="3735"/>
        </w:tabs>
        <w:jc w:val="both"/>
      </w:pPr>
      <w:r>
        <w:rPr>
          <w:noProof/>
          <w:lang w:eastAsia="it-IT"/>
        </w:rPr>
        <w:drawing>
          <wp:inline distT="0" distB="0" distL="0" distR="0" wp14:anchorId="5BF6F0D5" wp14:editId="2B821524">
            <wp:extent cx="4578350" cy="2755900"/>
            <wp:effectExtent l="0" t="0" r="0" b="63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7727A" w14:textId="77777777" w:rsidR="005D41A8" w:rsidRDefault="00164333" w:rsidP="005D41A8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5</w:t>
      </w:r>
      <w:r w:rsidR="005D41A8">
        <w:rPr>
          <w:b/>
        </w:rPr>
        <w:t xml:space="preserve">: </w:t>
      </w:r>
      <w:r w:rsidR="005D41A8">
        <w:rPr>
          <w:i/>
        </w:rPr>
        <w:t xml:space="preserve">Andamento della </w:t>
      </w:r>
      <w:proofErr w:type="gramStart"/>
      <w:r w:rsidR="005D41A8">
        <w:rPr>
          <w:i/>
        </w:rPr>
        <w:t>temperatura  nel</w:t>
      </w:r>
      <w:proofErr w:type="gramEnd"/>
      <w:r w:rsidR="005D41A8">
        <w:rPr>
          <w:i/>
        </w:rPr>
        <w:t xml:space="preserve"> tempo</w:t>
      </w:r>
    </w:p>
    <w:p w14:paraId="42EF7C93" w14:textId="77777777" w:rsidR="00CF1EBF" w:rsidRDefault="00CF1EBF" w:rsidP="005D41A8">
      <w:pPr>
        <w:tabs>
          <w:tab w:val="left" w:pos="3735"/>
        </w:tabs>
        <w:jc w:val="both"/>
      </w:pPr>
    </w:p>
    <w:p w14:paraId="788AED77" w14:textId="77777777" w:rsidR="00CF1EBF" w:rsidRDefault="00CF1EBF" w:rsidP="005D41A8">
      <w:pPr>
        <w:tabs>
          <w:tab w:val="left" w:pos="3735"/>
        </w:tabs>
        <w:jc w:val="both"/>
      </w:pPr>
    </w:p>
    <w:p w14:paraId="04C4D4D0" w14:textId="77777777" w:rsidR="00CF1EBF" w:rsidRDefault="00CF1EBF" w:rsidP="005D41A8">
      <w:pPr>
        <w:tabs>
          <w:tab w:val="left" w:pos="3735"/>
        </w:tabs>
        <w:jc w:val="both"/>
      </w:pPr>
    </w:p>
    <w:p w14:paraId="0E24D64E" w14:textId="77777777" w:rsidR="00CF1EBF" w:rsidRDefault="00CF1EBF" w:rsidP="005D41A8">
      <w:pPr>
        <w:tabs>
          <w:tab w:val="left" w:pos="3735"/>
        </w:tabs>
        <w:jc w:val="both"/>
      </w:pPr>
    </w:p>
    <w:p w14:paraId="363E1E4A" w14:textId="77777777" w:rsidR="00CF1EBF" w:rsidRDefault="00CF1EBF" w:rsidP="005D41A8">
      <w:pPr>
        <w:tabs>
          <w:tab w:val="left" w:pos="3735"/>
        </w:tabs>
        <w:jc w:val="both"/>
      </w:pPr>
    </w:p>
    <w:p w14:paraId="081CE051" w14:textId="77777777" w:rsidR="00CF1EBF" w:rsidRDefault="00CF1EBF" w:rsidP="005D41A8">
      <w:pPr>
        <w:tabs>
          <w:tab w:val="left" w:pos="3735"/>
        </w:tabs>
        <w:jc w:val="both"/>
      </w:pPr>
    </w:p>
    <w:p w14:paraId="56D63853" w14:textId="77777777" w:rsidR="00CF1EBF" w:rsidRDefault="00CF1EBF" w:rsidP="005D41A8">
      <w:pPr>
        <w:tabs>
          <w:tab w:val="left" w:pos="3735"/>
        </w:tabs>
        <w:jc w:val="both"/>
      </w:pPr>
    </w:p>
    <w:p w14:paraId="733BAB21" w14:textId="77777777" w:rsidR="00A80ABD" w:rsidRDefault="00A80ABD" w:rsidP="005D41A8">
      <w:pPr>
        <w:tabs>
          <w:tab w:val="left" w:pos="3735"/>
        </w:tabs>
        <w:jc w:val="both"/>
      </w:pPr>
      <w:r>
        <w:lastRenderedPageBreak/>
        <w:t xml:space="preserve">Al fine di valutare l’attività della biomassa nei reattori è stato fatto un test </w:t>
      </w:r>
      <w:proofErr w:type="spellStart"/>
      <w:r>
        <w:t>respirometrico</w:t>
      </w:r>
      <w:proofErr w:type="spellEnd"/>
      <w:r>
        <w:t xml:space="preserve"> per og</w:t>
      </w:r>
      <w:r w:rsidR="00CF1EBF">
        <w:t>ni reattore. A tal fine è stata monitorata la scomparsa dell’ossigeno subito dopo aver alimentato il reattore. L’andamento è mostrato nella figura 6.</w:t>
      </w:r>
    </w:p>
    <w:p w14:paraId="53210F2B" w14:textId="77777777" w:rsidR="00CF1EBF" w:rsidRDefault="00CF1EBF" w:rsidP="005D41A8">
      <w:pPr>
        <w:tabs>
          <w:tab w:val="left" w:pos="3735"/>
        </w:tabs>
        <w:jc w:val="both"/>
      </w:pPr>
      <w:r>
        <w:rPr>
          <w:noProof/>
          <w:lang w:eastAsia="it-IT"/>
        </w:rPr>
        <w:drawing>
          <wp:inline distT="0" distB="0" distL="0" distR="0" wp14:anchorId="3871BFEC" wp14:editId="54239DE2">
            <wp:extent cx="4587240" cy="2815452"/>
            <wp:effectExtent l="0" t="0" r="381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61" cy="282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FB9F7" w14:textId="77777777" w:rsidR="00CF1EBF" w:rsidRDefault="00BD03AA" w:rsidP="00CF1EBF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6</w:t>
      </w:r>
      <w:r w:rsidR="00CF1EBF">
        <w:rPr>
          <w:b/>
        </w:rPr>
        <w:t xml:space="preserve">: </w:t>
      </w:r>
      <w:r w:rsidR="00CF1EBF">
        <w:rPr>
          <w:i/>
        </w:rPr>
        <w:t xml:space="preserve">Cinetica della scomparsa dell’ossigeno per i tre reattori batch </w:t>
      </w:r>
    </w:p>
    <w:p w14:paraId="2B9E0E4D" w14:textId="77777777" w:rsidR="00CF1EBF" w:rsidRDefault="00CF1EBF" w:rsidP="00CF1EBF">
      <w:pPr>
        <w:tabs>
          <w:tab w:val="left" w:pos="3735"/>
        </w:tabs>
        <w:jc w:val="both"/>
      </w:pPr>
      <w:r>
        <w:t>Da tale grafico una volta ricavata la pendenza delle rette e sa</w:t>
      </w:r>
      <w:r w:rsidR="00F741EB">
        <w:t>pendo i valori di VSS (tabella 2</w:t>
      </w:r>
      <w:r>
        <w:t>) è stato possibile risalire all’attività respiratoria del fango espressa come OUR (mg O</w:t>
      </w:r>
      <w:r>
        <w:rPr>
          <w:vertAlign w:val="subscript"/>
        </w:rPr>
        <w:t>2</w:t>
      </w:r>
      <w:r w:rsidRPr="00CF1EBF">
        <w:t>/h*</w:t>
      </w:r>
      <w:proofErr w:type="spellStart"/>
      <w:r w:rsidRPr="00CF1EBF">
        <w:t>gVSS</w:t>
      </w:r>
      <w:proofErr w:type="spellEnd"/>
      <w:r w:rsidRPr="00CF1EBF">
        <w:t>)</w:t>
      </w:r>
      <w:r>
        <w:t>. I risultati di tale prov</w:t>
      </w:r>
      <w:r w:rsidR="00F741EB">
        <w:t>a sono riassunti nella tabella 4</w:t>
      </w:r>
    </w:p>
    <w:p w14:paraId="1323D367" w14:textId="77777777" w:rsidR="0032005C" w:rsidRDefault="00883934" w:rsidP="00CF1EBF">
      <w:pPr>
        <w:tabs>
          <w:tab w:val="left" w:pos="3735"/>
        </w:tabs>
        <w:jc w:val="both"/>
      </w:pPr>
      <w:r>
        <w:rPr>
          <w:b/>
        </w:rPr>
        <w:t>Tabella 4</w:t>
      </w:r>
      <w:r w:rsidR="0032005C">
        <w:rPr>
          <w:b/>
        </w:rPr>
        <w:t xml:space="preserve">: </w:t>
      </w:r>
      <w:r w:rsidR="0032005C">
        <w:rPr>
          <w:i/>
        </w:rPr>
        <w:t xml:space="preserve">Misura dell’attività </w:t>
      </w:r>
      <w:proofErr w:type="spellStart"/>
      <w:r w:rsidR="0032005C">
        <w:rPr>
          <w:i/>
        </w:rPr>
        <w:t>respirometrica</w:t>
      </w:r>
      <w:proofErr w:type="spellEnd"/>
      <w:r w:rsidR="0032005C">
        <w:rPr>
          <w:i/>
        </w:rPr>
        <w:t xml:space="preserve"> nei tre reattori batch</w:t>
      </w:r>
    </w:p>
    <w:p w14:paraId="0C26BC28" w14:textId="3DFA5EAC" w:rsidR="00CF1EBF" w:rsidRPr="00A80ABD" w:rsidRDefault="0032005C" w:rsidP="005D41A8">
      <w:pPr>
        <w:tabs>
          <w:tab w:val="left" w:pos="3735"/>
        </w:tabs>
        <w:jc w:val="both"/>
      </w:pPr>
      <w:r w:rsidRPr="0032005C">
        <w:rPr>
          <w:noProof/>
          <w:lang w:eastAsia="it-IT"/>
        </w:rPr>
        <w:drawing>
          <wp:inline distT="0" distB="0" distL="0" distR="0" wp14:anchorId="71703C12" wp14:editId="0DB398D2">
            <wp:extent cx="3666270" cy="3779427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90" cy="378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F1B8" w14:textId="77777777" w:rsidR="005D41A8" w:rsidRDefault="005D41A8" w:rsidP="005D41A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2.2 P</w:t>
      </w:r>
      <w:r w:rsidR="00F0631D">
        <w:rPr>
          <w:b/>
          <w:sz w:val="32"/>
          <w:szCs w:val="32"/>
        </w:rPr>
        <w:t>rove batch stessa velocità e nutrienti in eccesso</w:t>
      </w:r>
    </w:p>
    <w:p w14:paraId="1CA1F99C" w14:textId="77777777" w:rsidR="00F0631D" w:rsidRDefault="00F0631D" w:rsidP="00F0631D">
      <w:pPr>
        <w:jc w:val="both"/>
      </w:pPr>
      <w:r>
        <w:t>Altri</w:t>
      </w:r>
      <w:r w:rsidRPr="00AD2334">
        <w:t xml:space="preserve"> tre reattori</w:t>
      </w:r>
      <w:r w:rsidR="007E4721">
        <w:t xml:space="preserve"> sono stati alimentati giorno per giorno</w:t>
      </w:r>
      <w:r w:rsidR="00F741EB">
        <w:t xml:space="preserve"> come da tabella 5</w:t>
      </w:r>
      <w:r w:rsidR="00751FEB">
        <w:t xml:space="preserve"> aumentando le quantità di N e P in quanto si era notato che a causa dell’incremento del pH non vi era presenza di NH</w:t>
      </w:r>
      <w:r w:rsidR="00751FEB">
        <w:rPr>
          <w:vertAlign w:val="subscript"/>
        </w:rPr>
        <w:t>3</w:t>
      </w:r>
      <w:r w:rsidR="00751FEB">
        <w:t xml:space="preserve"> all’interno dei reattori già poche ore dopo l’alimentazione giornaliera</w:t>
      </w:r>
      <w:r>
        <w:t>. S</w:t>
      </w:r>
      <w:r w:rsidRPr="00AD2334">
        <w:t>ono stati moni</w:t>
      </w:r>
      <w:r w:rsidR="002B1766">
        <w:t>torati nel tempo seguendo il pH</w:t>
      </w:r>
      <w:r w:rsidRPr="00AD2334">
        <w:t>, la temperatura</w:t>
      </w:r>
      <w:r w:rsidR="00476E59">
        <w:t xml:space="preserve"> </w:t>
      </w:r>
      <w:r w:rsidRPr="00AD2334">
        <w:t xml:space="preserve">e la torbidità. </w:t>
      </w:r>
      <w:proofErr w:type="gramStart"/>
      <w:r>
        <w:t>Inoltre</w:t>
      </w:r>
      <w:proofErr w:type="gramEnd"/>
      <w:r>
        <w:t xml:space="preserve"> al </w:t>
      </w:r>
      <w:r w:rsidR="002B1766">
        <w:t xml:space="preserve">tempo zero sono stati eseguiti </w:t>
      </w:r>
      <w:r>
        <w:t xml:space="preserve">COD e </w:t>
      </w:r>
      <w:r w:rsidRPr="00AD2334">
        <w:t xml:space="preserve">peso </w:t>
      </w:r>
      <w:proofErr w:type="gramStart"/>
      <w:r w:rsidRPr="00AD2334">
        <w:t>secco</w:t>
      </w:r>
      <w:r>
        <w:t xml:space="preserve">, </w:t>
      </w:r>
      <w:r w:rsidRPr="00AD2334">
        <w:t xml:space="preserve"> ripetuti</w:t>
      </w:r>
      <w:proofErr w:type="gramEnd"/>
      <w:r>
        <w:t xml:space="preserve"> poi </w:t>
      </w:r>
      <w:r w:rsidRPr="00AD2334">
        <w:t xml:space="preserve">all’interruzione della prova </w:t>
      </w:r>
      <w:r w:rsidR="00BD03AA">
        <w:t xml:space="preserve">(dopo </w:t>
      </w:r>
      <w:proofErr w:type="gramStart"/>
      <w:r w:rsidR="00BD03AA">
        <w:t>10</w:t>
      </w:r>
      <w:proofErr w:type="gramEnd"/>
      <w:r w:rsidRPr="00AD2334">
        <w:t xml:space="preserve"> giorni</w:t>
      </w:r>
      <w:r>
        <w:t>)</w:t>
      </w:r>
      <w:r w:rsidRPr="00AD2334">
        <w:t>.</w:t>
      </w:r>
      <w:r>
        <w:t xml:space="preserve"> </w:t>
      </w:r>
    </w:p>
    <w:p w14:paraId="0CF1A061" w14:textId="77777777" w:rsidR="005D41A8" w:rsidRDefault="00883934" w:rsidP="005D41A8">
      <w:pPr>
        <w:tabs>
          <w:tab w:val="left" w:pos="3735"/>
        </w:tabs>
        <w:jc w:val="both"/>
        <w:rPr>
          <w:i/>
        </w:rPr>
      </w:pPr>
      <w:r>
        <w:rPr>
          <w:b/>
        </w:rPr>
        <w:t>Tabella 5</w:t>
      </w:r>
      <w:r w:rsidR="005D41A8">
        <w:rPr>
          <w:b/>
        </w:rPr>
        <w:t xml:space="preserve">: </w:t>
      </w:r>
      <w:r w:rsidR="005D41A8">
        <w:rPr>
          <w:i/>
        </w:rPr>
        <w:t>R</w:t>
      </w:r>
      <w:r w:rsidR="00F0631D">
        <w:rPr>
          <w:i/>
        </w:rPr>
        <w:t xml:space="preserve">eattori allestiti con eccesso di </w:t>
      </w:r>
      <w:proofErr w:type="gramStart"/>
      <w:r w:rsidR="00F0631D">
        <w:rPr>
          <w:i/>
        </w:rPr>
        <w:t>nu</w:t>
      </w:r>
      <w:r w:rsidR="007E4721">
        <w:rPr>
          <w:i/>
        </w:rPr>
        <w:t>trienti</w:t>
      </w:r>
      <w:r w:rsidR="005D41A8">
        <w:rPr>
          <w:i/>
        </w:rPr>
        <w:t>.</w:t>
      </w:r>
      <w:r w:rsidR="00751FEB">
        <w:rPr>
          <w:i/>
        </w:rPr>
        <w:t>(</w:t>
      </w:r>
      <w:proofErr w:type="gramEnd"/>
      <w:r w:rsidR="00751FEB">
        <w:rPr>
          <w:i/>
        </w:rPr>
        <w:t>200:50:10)</w:t>
      </w:r>
    </w:p>
    <w:tbl>
      <w:tblPr>
        <w:tblStyle w:val="Sfondochiaro-Color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24"/>
        <w:gridCol w:w="1604"/>
        <w:gridCol w:w="1755"/>
        <w:gridCol w:w="1592"/>
        <w:gridCol w:w="1189"/>
      </w:tblGrid>
      <w:tr w:rsidR="00013998" w14:paraId="07A72E18" w14:textId="77777777" w:rsidTr="00F4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A26063" w14:textId="77777777" w:rsidR="00013998" w:rsidRDefault="00013998" w:rsidP="00F425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Soluzione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5883D0" w14:textId="77777777" w:rsidR="00013998" w:rsidRDefault="00013998" w:rsidP="00F425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Volume acqua</w:t>
            </w:r>
          </w:p>
        </w:tc>
        <w:tc>
          <w:tcPr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C5B834" w14:textId="77777777" w:rsidR="00013998" w:rsidRDefault="00013998" w:rsidP="00F425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Quantità composto</w:t>
            </w:r>
          </w:p>
        </w:tc>
        <w:tc>
          <w:tcPr>
            <w:tcW w:w="17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385D43" w14:textId="77777777" w:rsidR="00013998" w:rsidRDefault="00013998" w:rsidP="00F425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Quantità elemento</w:t>
            </w:r>
          </w:p>
        </w:tc>
        <w:tc>
          <w:tcPr>
            <w:tcW w:w="15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5E99EC" w14:textId="77777777" w:rsidR="00013998" w:rsidRDefault="00013998" w:rsidP="00F425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Volume soluzione per giorno</w:t>
            </w:r>
          </w:p>
        </w:tc>
        <w:tc>
          <w:tcPr>
            <w:tcW w:w="1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3D09F" w14:textId="77777777" w:rsidR="00013998" w:rsidRDefault="00013998" w:rsidP="00F425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Massa aggiunta al giorno</w:t>
            </w:r>
          </w:p>
        </w:tc>
      </w:tr>
      <w:tr w:rsidR="00013998" w14:paraId="5BFDEDF4" w14:textId="77777777" w:rsidTr="00F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left w:val="none" w:sz="0" w:space="0" w:color="auto"/>
              <w:right w:val="none" w:sz="0" w:space="0" w:color="auto"/>
            </w:tcBorders>
          </w:tcPr>
          <w:p w14:paraId="33A00964" w14:textId="77777777" w:rsidR="00013998" w:rsidRPr="00013998" w:rsidRDefault="00013998" w:rsidP="00013998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1399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Glucosio (10 mg/L)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14:paraId="1D94FD6C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  <w:tcBorders>
              <w:left w:val="none" w:sz="0" w:space="0" w:color="auto"/>
              <w:right w:val="none" w:sz="0" w:space="0" w:color="auto"/>
            </w:tcBorders>
          </w:tcPr>
          <w:p w14:paraId="77CAE5A2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 mg</w:t>
            </w:r>
          </w:p>
        </w:tc>
        <w:tc>
          <w:tcPr>
            <w:tcW w:w="1755" w:type="dxa"/>
            <w:tcBorders>
              <w:left w:val="none" w:sz="0" w:space="0" w:color="auto"/>
              <w:right w:val="none" w:sz="0" w:space="0" w:color="auto"/>
            </w:tcBorders>
          </w:tcPr>
          <w:p w14:paraId="3DD86A0B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592" w:type="dxa"/>
            <w:tcBorders>
              <w:left w:val="none" w:sz="0" w:space="0" w:color="auto"/>
              <w:right w:val="none" w:sz="0" w:space="0" w:color="auto"/>
            </w:tcBorders>
          </w:tcPr>
          <w:p w14:paraId="3268FAF1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1,67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189" w:type="dxa"/>
            <w:tcBorders>
              <w:left w:val="none" w:sz="0" w:space="0" w:color="auto"/>
              <w:right w:val="none" w:sz="0" w:space="0" w:color="auto"/>
            </w:tcBorders>
          </w:tcPr>
          <w:p w14:paraId="006FCC51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16,7 mg</w:t>
            </w:r>
          </w:p>
        </w:tc>
      </w:tr>
      <w:tr w:rsidR="00013998" w14:paraId="214DCB1E" w14:textId="77777777" w:rsidTr="00F4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79EA221" w14:textId="77777777" w:rsidR="00013998" w:rsidRPr="00BE5D03" w:rsidRDefault="00013998" w:rsidP="00013998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Cl</w:t>
            </w:r>
          </w:p>
        </w:tc>
        <w:tc>
          <w:tcPr>
            <w:tcW w:w="1524" w:type="dxa"/>
          </w:tcPr>
          <w:p w14:paraId="5BBE8DEC" w14:textId="77777777" w:rsidR="00013998" w:rsidRDefault="00013998" w:rsidP="00F425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</w:tcPr>
          <w:p w14:paraId="385790F1" w14:textId="77777777" w:rsidR="00013998" w:rsidRDefault="00013998" w:rsidP="00F425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1,72 g</w:t>
            </w:r>
          </w:p>
        </w:tc>
        <w:tc>
          <w:tcPr>
            <w:tcW w:w="1755" w:type="dxa"/>
          </w:tcPr>
          <w:p w14:paraId="12605135" w14:textId="77777777" w:rsidR="00013998" w:rsidRDefault="00013998" w:rsidP="00F425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452,6 mg di N</w:t>
            </w:r>
          </w:p>
        </w:tc>
        <w:tc>
          <w:tcPr>
            <w:tcW w:w="1592" w:type="dxa"/>
          </w:tcPr>
          <w:p w14:paraId="14182810" w14:textId="77777777" w:rsidR="00013998" w:rsidRDefault="00013998" w:rsidP="00F425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μL</w:t>
            </w:r>
            <w:proofErr w:type="spellEnd"/>
          </w:p>
        </w:tc>
        <w:tc>
          <w:tcPr>
            <w:tcW w:w="1189" w:type="dxa"/>
          </w:tcPr>
          <w:p w14:paraId="7DC59E10" w14:textId="77777777" w:rsidR="00013998" w:rsidRDefault="00013998" w:rsidP="00F425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4,5 mg di N</w:t>
            </w:r>
          </w:p>
        </w:tc>
      </w:tr>
      <w:tr w:rsidR="00013998" w14:paraId="339FCAD0" w14:textId="77777777" w:rsidTr="00F4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left w:val="none" w:sz="0" w:space="0" w:color="auto"/>
              <w:right w:val="none" w:sz="0" w:space="0" w:color="auto"/>
            </w:tcBorders>
          </w:tcPr>
          <w:p w14:paraId="407608C1" w14:textId="77777777" w:rsidR="00013998" w:rsidRPr="00BE5D03" w:rsidRDefault="00013998" w:rsidP="00013998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KPO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it-IT"/>
              </w:rPr>
              <w:t>4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14:paraId="0B3A9933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mL</w:t>
            </w:r>
            <w:proofErr w:type="spellEnd"/>
          </w:p>
        </w:tc>
        <w:tc>
          <w:tcPr>
            <w:tcW w:w="1604" w:type="dxa"/>
            <w:tcBorders>
              <w:left w:val="none" w:sz="0" w:space="0" w:color="auto"/>
              <w:right w:val="none" w:sz="0" w:space="0" w:color="auto"/>
            </w:tcBorders>
          </w:tcPr>
          <w:p w14:paraId="6213FF22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435 mg</w:t>
            </w:r>
          </w:p>
        </w:tc>
        <w:tc>
          <w:tcPr>
            <w:tcW w:w="1755" w:type="dxa"/>
            <w:tcBorders>
              <w:left w:val="none" w:sz="0" w:space="0" w:color="auto"/>
              <w:right w:val="none" w:sz="0" w:space="0" w:color="auto"/>
            </w:tcBorders>
          </w:tcPr>
          <w:p w14:paraId="342FB1BD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 mg di P</w:t>
            </w:r>
          </w:p>
        </w:tc>
        <w:tc>
          <w:tcPr>
            <w:tcW w:w="1592" w:type="dxa"/>
            <w:tcBorders>
              <w:left w:val="none" w:sz="0" w:space="0" w:color="auto"/>
              <w:right w:val="none" w:sz="0" w:space="0" w:color="auto"/>
            </w:tcBorders>
          </w:tcPr>
          <w:p w14:paraId="24C27934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μL</w:t>
            </w:r>
            <w:proofErr w:type="spellEnd"/>
          </w:p>
        </w:tc>
        <w:tc>
          <w:tcPr>
            <w:tcW w:w="1189" w:type="dxa"/>
            <w:tcBorders>
              <w:left w:val="none" w:sz="0" w:space="0" w:color="auto"/>
              <w:right w:val="none" w:sz="0" w:space="0" w:color="auto"/>
            </w:tcBorders>
          </w:tcPr>
          <w:p w14:paraId="53B075B0" w14:textId="77777777" w:rsidR="00013998" w:rsidRDefault="00013998" w:rsidP="00F425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 mg di P</w:t>
            </w:r>
          </w:p>
        </w:tc>
      </w:tr>
    </w:tbl>
    <w:p w14:paraId="14345A4B" w14:textId="77777777" w:rsidR="00013998" w:rsidRDefault="00013998" w:rsidP="000139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78A2B9" w14:textId="77777777" w:rsidR="00013998" w:rsidRDefault="00013998" w:rsidP="00013998">
      <w:pPr>
        <w:jc w:val="both"/>
      </w:pPr>
    </w:p>
    <w:p w14:paraId="2A0764E1" w14:textId="77777777" w:rsidR="00013998" w:rsidRDefault="00013998" w:rsidP="00013998">
      <w:pPr>
        <w:jc w:val="both"/>
      </w:pPr>
    </w:p>
    <w:p w14:paraId="78B5E520" w14:textId="77777777" w:rsidR="00013998" w:rsidRDefault="00F741EB" w:rsidP="00013998">
      <w:pPr>
        <w:jc w:val="both"/>
      </w:pPr>
      <w:r>
        <w:t>La tabella 6</w:t>
      </w:r>
      <w:r w:rsidR="00013998">
        <w:t xml:space="preserve"> mostra il bilancio di massa dei tre reattori al tempo finale.</w:t>
      </w:r>
    </w:p>
    <w:p w14:paraId="7523F136" w14:textId="77777777" w:rsidR="00013998" w:rsidRPr="00A52237" w:rsidRDefault="00883934" w:rsidP="00013998">
      <w:pPr>
        <w:jc w:val="both"/>
        <w:rPr>
          <w:i/>
        </w:rPr>
      </w:pPr>
      <w:r>
        <w:rPr>
          <w:b/>
        </w:rPr>
        <w:t xml:space="preserve">Tabella </w:t>
      </w:r>
      <w:proofErr w:type="gramStart"/>
      <w:r>
        <w:rPr>
          <w:b/>
        </w:rPr>
        <w:t>6</w:t>
      </w:r>
      <w:r w:rsidR="00013998">
        <w:rPr>
          <w:b/>
        </w:rPr>
        <w:t xml:space="preserve"> :</w:t>
      </w:r>
      <w:proofErr w:type="gramEnd"/>
      <w:r w:rsidR="00013998">
        <w:rPr>
          <w:b/>
        </w:rPr>
        <w:t xml:space="preserve"> </w:t>
      </w:r>
      <w:r w:rsidR="00013998">
        <w:rPr>
          <w:i/>
        </w:rPr>
        <w:t xml:space="preserve">Bilancio di massa </w:t>
      </w:r>
      <w:r w:rsidR="00751FEB">
        <w:rPr>
          <w:i/>
        </w:rPr>
        <w:t xml:space="preserve">nella fase liquida </w:t>
      </w:r>
      <w:proofErr w:type="gramStart"/>
      <w:r w:rsidR="00013998">
        <w:rPr>
          <w:i/>
        </w:rPr>
        <w:t>su i</w:t>
      </w:r>
      <w:proofErr w:type="gramEnd"/>
      <w:r w:rsidR="00013998">
        <w:rPr>
          <w:i/>
        </w:rPr>
        <w:t xml:space="preserve"> tre reattori batch</w:t>
      </w:r>
    </w:p>
    <w:p w14:paraId="62487659" w14:textId="77777777" w:rsidR="00013998" w:rsidRDefault="00013998" w:rsidP="00013998">
      <w:pPr>
        <w:jc w:val="both"/>
      </w:pPr>
    </w:p>
    <w:tbl>
      <w:tblPr>
        <w:tblStyle w:val="Sfondomedio2-Colore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1302"/>
        <w:gridCol w:w="1461"/>
        <w:gridCol w:w="1342"/>
        <w:gridCol w:w="1461"/>
        <w:gridCol w:w="1236"/>
        <w:gridCol w:w="1289"/>
      </w:tblGrid>
      <w:tr w:rsidR="00013998" w:rsidRPr="00013998" w14:paraId="6298E88F" w14:textId="77777777" w:rsidTr="00013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F11C43" w14:textId="77777777" w:rsidR="00013998" w:rsidRPr="00013998" w:rsidRDefault="00013998" w:rsidP="00013998">
            <w:pPr>
              <w:jc w:val="both"/>
            </w:pPr>
            <w:r w:rsidRPr="00013998">
              <w:t>Reattore</w:t>
            </w:r>
          </w:p>
        </w:tc>
        <w:tc>
          <w:tcPr>
            <w:tcW w:w="18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D5E759" w14:textId="77777777" w:rsidR="00013998" w:rsidRPr="00013998" w:rsidRDefault="00013998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Glucosio (mg)</w:t>
            </w:r>
          </w:p>
        </w:tc>
        <w:tc>
          <w:tcPr>
            <w:tcW w:w="2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518ECDF" w14:textId="77777777" w:rsidR="00013998" w:rsidRPr="00013998" w:rsidRDefault="00751FEB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 (da inoculo</w:t>
            </w:r>
            <w:r w:rsidR="00013998" w:rsidRPr="00013998">
              <w:t>) (mg/L)</w:t>
            </w:r>
          </w:p>
        </w:tc>
        <w:tc>
          <w:tcPr>
            <w:tcW w:w="1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843C895" w14:textId="77777777" w:rsidR="00013998" w:rsidRPr="00013998" w:rsidRDefault="00013998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COD (f) (mg/L)</w:t>
            </w:r>
          </w:p>
        </w:tc>
        <w:tc>
          <w:tcPr>
            <w:tcW w:w="2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2BDFE" w14:textId="77777777" w:rsidR="00013998" w:rsidRPr="00013998" w:rsidRDefault="00013998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998">
              <w:t>SSi</w:t>
            </w:r>
            <w:proofErr w:type="spellEnd"/>
            <w:r w:rsidRPr="00013998">
              <w:t xml:space="preserve"> (mg)</w:t>
            </w:r>
          </w:p>
        </w:tc>
        <w:tc>
          <w:tcPr>
            <w:tcW w:w="17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EF8627" w14:textId="77777777" w:rsidR="00013998" w:rsidRPr="00013998" w:rsidRDefault="00013998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998">
              <w:t>SSf</w:t>
            </w:r>
            <w:proofErr w:type="spellEnd"/>
            <w:r w:rsidRPr="00013998">
              <w:t xml:space="preserve"> (mg)</w:t>
            </w:r>
          </w:p>
        </w:tc>
        <w:tc>
          <w:tcPr>
            <w:tcW w:w="1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EFA4794" w14:textId="77777777" w:rsidR="00013998" w:rsidRPr="00013998" w:rsidRDefault="00013998" w:rsidP="000139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998">
              <w:t>VSSf</w:t>
            </w:r>
            <w:proofErr w:type="spellEnd"/>
            <w:r w:rsidRPr="00013998">
              <w:t xml:space="preserve"> (mg)</w:t>
            </w:r>
          </w:p>
        </w:tc>
      </w:tr>
      <w:tr w:rsidR="00013998" w:rsidRPr="00013998" w14:paraId="47B0DA0A" w14:textId="77777777" w:rsidTr="0001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F1E9017" w14:textId="77777777" w:rsidR="00013998" w:rsidRPr="00F741EB" w:rsidRDefault="00F741EB" w:rsidP="00F741EB">
            <w:pPr>
              <w:jc w:val="both"/>
            </w:pPr>
            <w:r w:rsidRPr="00F741EB">
              <w:t xml:space="preserve">1)Per </w:t>
            </w:r>
            <w:r w:rsidR="00013998" w:rsidRPr="00F741EB">
              <w:t>UTW 117</w:t>
            </w:r>
          </w:p>
        </w:tc>
        <w:tc>
          <w:tcPr>
            <w:tcW w:w="1860" w:type="dxa"/>
            <w:noWrap/>
            <w:hideMark/>
          </w:tcPr>
          <w:p w14:paraId="728A8989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167</w:t>
            </w:r>
          </w:p>
        </w:tc>
        <w:tc>
          <w:tcPr>
            <w:tcW w:w="2100" w:type="dxa"/>
            <w:noWrap/>
            <w:hideMark/>
          </w:tcPr>
          <w:p w14:paraId="47CB3C0A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5,3</w:t>
            </w:r>
          </w:p>
        </w:tc>
        <w:tc>
          <w:tcPr>
            <w:tcW w:w="1920" w:type="dxa"/>
            <w:noWrap/>
            <w:hideMark/>
          </w:tcPr>
          <w:p w14:paraId="5ACB1B6E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86</w:t>
            </w:r>
          </w:p>
        </w:tc>
        <w:tc>
          <w:tcPr>
            <w:tcW w:w="2100" w:type="dxa"/>
            <w:noWrap/>
            <w:hideMark/>
          </w:tcPr>
          <w:p w14:paraId="3CE835F6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20</w:t>
            </w:r>
          </w:p>
        </w:tc>
        <w:tc>
          <w:tcPr>
            <w:tcW w:w="1760" w:type="dxa"/>
            <w:noWrap/>
            <w:hideMark/>
          </w:tcPr>
          <w:p w14:paraId="336AE088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89,2</w:t>
            </w:r>
          </w:p>
        </w:tc>
        <w:tc>
          <w:tcPr>
            <w:tcW w:w="1840" w:type="dxa"/>
            <w:noWrap/>
            <w:hideMark/>
          </w:tcPr>
          <w:p w14:paraId="263483CB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66,8</w:t>
            </w:r>
          </w:p>
        </w:tc>
      </w:tr>
      <w:tr w:rsidR="00013998" w:rsidRPr="00013998" w14:paraId="5C3389A2" w14:textId="77777777" w:rsidTr="00013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66A97C8F" w14:textId="77777777" w:rsidR="00013998" w:rsidRPr="00013998" w:rsidRDefault="00F741EB" w:rsidP="00013998">
            <w:pPr>
              <w:jc w:val="both"/>
            </w:pPr>
            <w:r>
              <w:t xml:space="preserve">2) per </w:t>
            </w:r>
            <w:r w:rsidR="00013998" w:rsidRPr="00013998">
              <w:t>CH 7464</w:t>
            </w:r>
          </w:p>
        </w:tc>
        <w:tc>
          <w:tcPr>
            <w:tcW w:w="1860" w:type="dxa"/>
            <w:noWrap/>
            <w:hideMark/>
          </w:tcPr>
          <w:p w14:paraId="0F1C6C5E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167</w:t>
            </w:r>
          </w:p>
        </w:tc>
        <w:tc>
          <w:tcPr>
            <w:tcW w:w="2100" w:type="dxa"/>
            <w:noWrap/>
            <w:hideMark/>
          </w:tcPr>
          <w:p w14:paraId="507613A3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5,3</w:t>
            </w:r>
          </w:p>
        </w:tc>
        <w:tc>
          <w:tcPr>
            <w:tcW w:w="1920" w:type="dxa"/>
            <w:noWrap/>
            <w:hideMark/>
          </w:tcPr>
          <w:p w14:paraId="5CDC249D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168</w:t>
            </w:r>
          </w:p>
        </w:tc>
        <w:tc>
          <w:tcPr>
            <w:tcW w:w="2100" w:type="dxa"/>
            <w:noWrap/>
            <w:hideMark/>
          </w:tcPr>
          <w:p w14:paraId="0475710F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20</w:t>
            </w:r>
          </w:p>
        </w:tc>
        <w:tc>
          <w:tcPr>
            <w:tcW w:w="1760" w:type="dxa"/>
            <w:noWrap/>
            <w:hideMark/>
          </w:tcPr>
          <w:p w14:paraId="287EEDA5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218</w:t>
            </w:r>
          </w:p>
        </w:tc>
        <w:tc>
          <w:tcPr>
            <w:tcW w:w="1840" w:type="dxa"/>
            <w:noWrap/>
            <w:hideMark/>
          </w:tcPr>
          <w:p w14:paraId="286F9854" w14:textId="77777777" w:rsidR="00013998" w:rsidRPr="00013998" w:rsidRDefault="00013998" w:rsidP="00013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998">
              <w:t>90</w:t>
            </w:r>
          </w:p>
        </w:tc>
      </w:tr>
      <w:tr w:rsidR="00013998" w:rsidRPr="00013998" w14:paraId="086F648D" w14:textId="77777777" w:rsidTr="00013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033F1C1" w14:textId="00DAEBCB" w:rsidR="00013998" w:rsidRPr="00F741EB" w:rsidRDefault="00F741EB" w:rsidP="00F741EB">
            <w:pPr>
              <w:jc w:val="both"/>
            </w:pPr>
            <w:r>
              <w:t>3)</w:t>
            </w:r>
            <w:r w:rsidRPr="00F741EB">
              <w:t xml:space="preserve">Per </w:t>
            </w:r>
            <w:proofErr w:type="spellStart"/>
            <w:r w:rsidR="00C27982">
              <w:t>Disp.T</w:t>
            </w:r>
            <w:proofErr w:type="spellEnd"/>
            <w:r w:rsidR="00C27982">
              <w:t xml:space="preserve"> </w:t>
            </w:r>
            <w:r w:rsidR="00013998" w:rsidRPr="00F741EB">
              <w:t>+B40</w:t>
            </w:r>
          </w:p>
        </w:tc>
        <w:tc>
          <w:tcPr>
            <w:tcW w:w="1860" w:type="dxa"/>
            <w:noWrap/>
            <w:hideMark/>
          </w:tcPr>
          <w:p w14:paraId="23CE5427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167</w:t>
            </w:r>
          </w:p>
        </w:tc>
        <w:tc>
          <w:tcPr>
            <w:tcW w:w="2100" w:type="dxa"/>
            <w:noWrap/>
            <w:hideMark/>
          </w:tcPr>
          <w:p w14:paraId="3D7F2A3E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5,3</w:t>
            </w:r>
          </w:p>
        </w:tc>
        <w:tc>
          <w:tcPr>
            <w:tcW w:w="1920" w:type="dxa"/>
            <w:noWrap/>
            <w:hideMark/>
          </w:tcPr>
          <w:p w14:paraId="528470B4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232,7</w:t>
            </w:r>
          </w:p>
        </w:tc>
        <w:tc>
          <w:tcPr>
            <w:tcW w:w="2100" w:type="dxa"/>
            <w:noWrap/>
            <w:hideMark/>
          </w:tcPr>
          <w:p w14:paraId="3DE47D9C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20</w:t>
            </w:r>
          </w:p>
        </w:tc>
        <w:tc>
          <w:tcPr>
            <w:tcW w:w="1760" w:type="dxa"/>
            <w:noWrap/>
            <w:hideMark/>
          </w:tcPr>
          <w:p w14:paraId="01B3A9CF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241,6</w:t>
            </w:r>
          </w:p>
        </w:tc>
        <w:tc>
          <w:tcPr>
            <w:tcW w:w="1840" w:type="dxa"/>
            <w:noWrap/>
            <w:hideMark/>
          </w:tcPr>
          <w:p w14:paraId="64861F65" w14:textId="77777777" w:rsidR="00013998" w:rsidRPr="00013998" w:rsidRDefault="00013998" w:rsidP="000139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998">
              <w:t>85,9</w:t>
            </w:r>
          </w:p>
        </w:tc>
      </w:tr>
    </w:tbl>
    <w:p w14:paraId="34712D32" w14:textId="77777777" w:rsidR="00013998" w:rsidRDefault="00013998" w:rsidP="005D41A8">
      <w:pPr>
        <w:jc w:val="both"/>
      </w:pPr>
    </w:p>
    <w:p w14:paraId="74DFA4F0" w14:textId="77777777" w:rsidR="00013998" w:rsidRDefault="00013998" w:rsidP="005D41A8">
      <w:pPr>
        <w:jc w:val="both"/>
      </w:pPr>
    </w:p>
    <w:p w14:paraId="42C779DB" w14:textId="77777777" w:rsidR="00013998" w:rsidRDefault="00013998" w:rsidP="00013998">
      <w:pPr>
        <w:jc w:val="both"/>
      </w:pPr>
      <w:r>
        <w:t>Come detto sono stati monitorati nel cor</w:t>
      </w:r>
      <w:r w:rsidR="00476E59">
        <w:t>so del tempo la torbidità (</w:t>
      </w:r>
      <w:proofErr w:type="spellStart"/>
      <w:r w:rsidR="00476E59">
        <w:t>fig</w:t>
      </w:r>
      <w:proofErr w:type="spellEnd"/>
      <w:r w:rsidR="00476E59">
        <w:t xml:space="preserve"> 7</w:t>
      </w:r>
      <w:r>
        <w:t>),</w:t>
      </w:r>
      <w:r w:rsidR="00476E59">
        <w:t xml:space="preserve"> il pH (</w:t>
      </w:r>
      <w:proofErr w:type="spellStart"/>
      <w:r w:rsidR="00476E59">
        <w:t>fig</w:t>
      </w:r>
      <w:proofErr w:type="spellEnd"/>
      <w:r w:rsidR="00476E59">
        <w:t xml:space="preserve"> 8) e la temperatura (</w:t>
      </w:r>
      <w:proofErr w:type="spellStart"/>
      <w:r w:rsidR="00476E59">
        <w:t>fig</w:t>
      </w:r>
      <w:proofErr w:type="spellEnd"/>
      <w:r w:rsidR="00476E59">
        <w:t xml:space="preserve"> 9</w:t>
      </w:r>
      <w:r>
        <w:t>) nei tre reattori batch.</w:t>
      </w:r>
    </w:p>
    <w:p w14:paraId="799AAB55" w14:textId="77777777" w:rsidR="00013998" w:rsidRDefault="00F741EB" w:rsidP="00013998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73022FCE" wp14:editId="35F0F03E">
            <wp:extent cx="4584700" cy="2755900"/>
            <wp:effectExtent l="0" t="0" r="635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BE7D8" w14:textId="77777777" w:rsidR="00013998" w:rsidRDefault="00013998" w:rsidP="00013998">
      <w:pPr>
        <w:jc w:val="both"/>
      </w:pPr>
    </w:p>
    <w:p w14:paraId="06EA2F00" w14:textId="77777777" w:rsidR="00013998" w:rsidRDefault="00013998" w:rsidP="00013998">
      <w:pPr>
        <w:jc w:val="both"/>
      </w:pPr>
    </w:p>
    <w:p w14:paraId="6119CB32" w14:textId="77777777" w:rsidR="00013998" w:rsidRDefault="007E4721" w:rsidP="00013998">
      <w:pPr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7</w:t>
      </w:r>
      <w:r w:rsidR="00013998">
        <w:rPr>
          <w:b/>
        </w:rPr>
        <w:t xml:space="preserve"> :</w:t>
      </w:r>
      <w:proofErr w:type="gramEnd"/>
      <w:r w:rsidR="00013998">
        <w:rPr>
          <w:b/>
        </w:rPr>
        <w:t xml:space="preserve"> </w:t>
      </w:r>
      <w:r w:rsidR="00013998">
        <w:rPr>
          <w:i/>
        </w:rPr>
        <w:t>Andamento della Torbidità nel tempo</w:t>
      </w:r>
      <w:r w:rsidR="00B303EB">
        <w:rPr>
          <w:i/>
        </w:rPr>
        <w:t xml:space="preserve"> </w:t>
      </w:r>
      <w:r w:rsidR="00751FEB">
        <w:rPr>
          <w:i/>
        </w:rPr>
        <w:t>nei tre reattori allestiti per le prove di distacco</w:t>
      </w:r>
      <w:r w:rsidR="00013998">
        <w:rPr>
          <w:i/>
        </w:rPr>
        <w:t>, il punto finale si riferisce alle soluzioni omogenizzate (a causa della presenza di fiocchi di biomassa sospesi).</w:t>
      </w:r>
    </w:p>
    <w:p w14:paraId="35951FD8" w14:textId="77777777" w:rsidR="00013998" w:rsidRDefault="00013998" w:rsidP="00013998">
      <w:pPr>
        <w:jc w:val="both"/>
      </w:pPr>
    </w:p>
    <w:p w14:paraId="34F383C7" w14:textId="77777777" w:rsidR="00013998" w:rsidRDefault="00013998" w:rsidP="00013998">
      <w:pPr>
        <w:jc w:val="both"/>
      </w:pPr>
    </w:p>
    <w:p w14:paraId="7D1328C1" w14:textId="77777777" w:rsidR="00013998" w:rsidRDefault="00F741EB" w:rsidP="00013998">
      <w:pPr>
        <w:jc w:val="both"/>
      </w:pPr>
      <w:r>
        <w:rPr>
          <w:noProof/>
          <w:lang w:eastAsia="it-IT"/>
        </w:rPr>
        <w:drawing>
          <wp:inline distT="0" distB="0" distL="0" distR="0" wp14:anchorId="773D3E7B" wp14:editId="0392EB39">
            <wp:extent cx="4584700" cy="2755900"/>
            <wp:effectExtent l="0" t="0" r="635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F6E8B" w14:textId="77777777" w:rsidR="00013998" w:rsidRDefault="007E4721" w:rsidP="00013998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8</w:t>
      </w:r>
      <w:r w:rsidR="00013998">
        <w:rPr>
          <w:b/>
        </w:rPr>
        <w:t xml:space="preserve"> :</w:t>
      </w:r>
      <w:proofErr w:type="gramEnd"/>
      <w:r w:rsidR="00013998">
        <w:rPr>
          <w:b/>
        </w:rPr>
        <w:t xml:space="preserve"> </w:t>
      </w:r>
      <w:r w:rsidR="00013998">
        <w:rPr>
          <w:i/>
        </w:rPr>
        <w:t xml:space="preserve">Andamento del </w:t>
      </w:r>
      <w:proofErr w:type="gramStart"/>
      <w:r w:rsidR="00013998">
        <w:rPr>
          <w:i/>
        </w:rPr>
        <w:t>pH  nel</w:t>
      </w:r>
      <w:proofErr w:type="gramEnd"/>
      <w:r w:rsidR="00013998">
        <w:rPr>
          <w:i/>
        </w:rPr>
        <w:t xml:space="preserve"> tempo</w:t>
      </w:r>
      <w:r w:rsidR="00013998">
        <w:rPr>
          <w:i/>
        </w:rPr>
        <w:tab/>
      </w:r>
    </w:p>
    <w:p w14:paraId="539C7533" w14:textId="77777777" w:rsidR="003D5CA3" w:rsidRDefault="003D5CA3" w:rsidP="00013998">
      <w:pPr>
        <w:tabs>
          <w:tab w:val="left" w:pos="3735"/>
        </w:tabs>
        <w:jc w:val="both"/>
        <w:rPr>
          <w:i/>
        </w:rPr>
      </w:pPr>
    </w:p>
    <w:p w14:paraId="6FAA689F" w14:textId="77777777" w:rsidR="003D5CA3" w:rsidRDefault="003D5CA3" w:rsidP="00013998">
      <w:pPr>
        <w:tabs>
          <w:tab w:val="left" w:pos="3735"/>
        </w:tabs>
        <w:jc w:val="both"/>
        <w:rPr>
          <w:i/>
        </w:rPr>
      </w:pPr>
    </w:p>
    <w:p w14:paraId="7DA6FC08" w14:textId="77777777" w:rsidR="003D5CA3" w:rsidRDefault="003D5CA3" w:rsidP="00013998">
      <w:pPr>
        <w:tabs>
          <w:tab w:val="left" w:pos="3735"/>
        </w:tabs>
        <w:jc w:val="both"/>
        <w:rPr>
          <w:i/>
        </w:rPr>
      </w:pPr>
    </w:p>
    <w:p w14:paraId="7BB78C29" w14:textId="77777777" w:rsidR="003D5CA3" w:rsidRDefault="003D5CA3" w:rsidP="00013998">
      <w:pPr>
        <w:tabs>
          <w:tab w:val="left" w:pos="3735"/>
        </w:tabs>
        <w:jc w:val="both"/>
        <w:rPr>
          <w:i/>
        </w:rPr>
      </w:pPr>
    </w:p>
    <w:p w14:paraId="6210C334" w14:textId="77777777" w:rsidR="00013998" w:rsidRDefault="00F741EB" w:rsidP="00013998">
      <w:pPr>
        <w:tabs>
          <w:tab w:val="left" w:pos="3735"/>
        </w:tabs>
        <w:jc w:val="both"/>
      </w:pPr>
      <w:r>
        <w:rPr>
          <w:noProof/>
          <w:lang w:eastAsia="it-IT"/>
        </w:rPr>
        <w:drawing>
          <wp:inline distT="0" distB="0" distL="0" distR="0" wp14:anchorId="3656AAF8" wp14:editId="35E9CDF3">
            <wp:extent cx="4584700" cy="2755900"/>
            <wp:effectExtent l="0" t="0" r="635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D93A2" w14:textId="77777777" w:rsidR="00013998" w:rsidRDefault="007E4721" w:rsidP="00013998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9</w:t>
      </w:r>
      <w:r w:rsidR="00013998">
        <w:rPr>
          <w:b/>
        </w:rPr>
        <w:t xml:space="preserve"> :</w:t>
      </w:r>
      <w:proofErr w:type="gramEnd"/>
      <w:r w:rsidR="00013998">
        <w:rPr>
          <w:b/>
        </w:rPr>
        <w:t xml:space="preserve"> </w:t>
      </w:r>
      <w:r w:rsidR="00013998">
        <w:rPr>
          <w:i/>
        </w:rPr>
        <w:t xml:space="preserve">Andamento della </w:t>
      </w:r>
      <w:proofErr w:type="gramStart"/>
      <w:r w:rsidR="00013998">
        <w:rPr>
          <w:i/>
        </w:rPr>
        <w:t>temperatura  nel</w:t>
      </w:r>
      <w:proofErr w:type="gramEnd"/>
      <w:r w:rsidR="00013998">
        <w:rPr>
          <w:i/>
        </w:rPr>
        <w:t xml:space="preserve"> tempo</w:t>
      </w:r>
    </w:p>
    <w:p w14:paraId="629A06CA" w14:textId="77777777" w:rsidR="003D5CA3" w:rsidRDefault="003D5CA3" w:rsidP="00013998">
      <w:pPr>
        <w:tabs>
          <w:tab w:val="left" w:pos="3735"/>
        </w:tabs>
        <w:jc w:val="both"/>
        <w:rPr>
          <w:i/>
        </w:rPr>
      </w:pPr>
    </w:p>
    <w:p w14:paraId="61B57D59" w14:textId="4313A963" w:rsidR="002B1766" w:rsidRDefault="002B1766" w:rsidP="002B176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Prove di distacco </w:t>
      </w:r>
      <w:proofErr w:type="spellStart"/>
      <w:r w:rsidR="00C27982">
        <w:rPr>
          <w:b/>
          <w:sz w:val="32"/>
          <w:szCs w:val="32"/>
        </w:rPr>
        <w:t>Disp.T</w:t>
      </w:r>
      <w:proofErr w:type="spellEnd"/>
      <w:r>
        <w:rPr>
          <w:b/>
          <w:sz w:val="32"/>
          <w:szCs w:val="32"/>
        </w:rPr>
        <w:t xml:space="preserve"> + </w:t>
      </w:r>
      <w:r w:rsidR="00C27982">
        <w:rPr>
          <w:b/>
          <w:sz w:val="32"/>
          <w:szCs w:val="32"/>
        </w:rPr>
        <w:t>B.</w:t>
      </w:r>
      <w:r>
        <w:rPr>
          <w:b/>
          <w:sz w:val="32"/>
          <w:szCs w:val="32"/>
        </w:rPr>
        <w:t xml:space="preserve">40 </w:t>
      </w:r>
      <w:r w:rsidR="0018527C">
        <w:rPr>
          <w:b/>
          <w:sz w:val="32"/>
          <w:szCs w:val="32"/>
        </w:rPr>
        <w:t xml:space="preserve">su </w:t>
      </w:r>
      <w:r>
        <w:rPr>
          <w:b/>
          <w:sz w:val="32"/>
          <w:szCs w:val="32"/>
        </w:rPr>
        <w:t>biofilm</w:t>
      </w:r>
      <w:r w:rsidR="0018527C">
        <w:rPr>
          <w:b/>
          <w:sz w:val="32"/>
          <w:szCs w:val="32"/>
        </w:rPr>
        <w:t xml:space="preserve"> di</w:t>
      </w:r>
      <w:r>
        <w:rPr>
          <w:b/>
          <w:sz w:val="32"/>
          <w:szCs w:val="32"/>
        </w:rPr>
        <w:t xml:space="preserve"> 10</w:t>
      </w:r>
      <w:r w:rsidR="00842CA4">
        <w:rPr>
          <w:b/>
          <w:sz w:val="32"/>
          <w:szCs w:val="32"/>
        </w:rPr>
        <w:t xml:space="preserve"> e 20</w:t>
      </w:r>
      <w:r>
        <w:rPr>
          <w:b/>
          <w:sz w:val="32"/>
          <w:szCs w:val="32"/>
        </w:rPr>
        <w:t xml:space="preserve"> giorni e nutrienti in propo</w:t>
      </w:r>
      <w:r w:rsidR="00842CA4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zione</w:t>
      </w:r>
    </w:p>
    <w:p w14:paraId="0A96B4D3" w14:textId="099BB65A" w:rsidR="002B1766" w:rsidRDefault="002B1766" w:rsidP="002B1766">
      <w:pPr>
        <w:jc w:val="both"/>
      </w:pPr>
      <w:r>
        <w:t xml:space="preserve">Da queste prove si vede che il risultato </w:t>
      </w:r>
      <w:r w:rsidR="00842CA4">
        <w:t xml:space="preserve">della prova di distacco con il disperdente </w:t>
      </w:r>
      <w:proofErr w:type="spellStart"/>
      <w:r w:rsidR="00C27982">
        <w:t>Disp.T</w:t>
      </w:r>
      <w:proofErr w:type="spellEnd"/>
      <w:r w:rsidR="00842CA4">
        <w:t xml:space="preserve"> è positivo. </w:t>
      </w:r>
      <w:r w:rsidR="00F741EB">
        <w:t>In tabella 7</w:t>
      </w:r>
      <w:r>
        <w:t xml:space="preserve"> possiamo vedere i risulta</w:t>
      </w:r>
      <w:r w:rsidR="00842CA4">
        <w:t xml:space="preserve">ti ottenuti, mentre la figura 10 </w:t>
      </w:r>
      <w:r>
        <w:t>mostra la cinetica di distacco nel tempo. La deviazione standard della misura di assorbanza è stata stimata su sette repliche.</w:t>
      </w:r>
    </w:p>
    <w:p w14:paraId="430C3448" w14:textId="77777777" w:rsidR="002B1766" w:rsidRDefault="002B1766" w:rsidP="002B1766">
      <w:pPr>
        <w:tabs>
          <w:tab w:val="left" w:pos="3735"/>
        </w:tabs>
        <w:jc w:val="both"/>
      </w:pPr>
    </w:p>
    <w:p w14:paraId="463E7EDB" w14:textId="77777777" w:rsidR="002B1766" w:rsidRDefault="002B1766" w:rsidP="002B1766">
      <w:pPr>
        <w:tabs>
          <w:tab w:val="left" w:pos="3735"/>
        </w:tabs>
        <w:jc w:val="both"/>
        <w:rPr>
          <w:i/>
        </w:rPr>
      </w:pPr>
      <w:r>
        <w:t xml:space="preserve"> </w:t>
      </w:r>
      <w:r w:rsidR="00883934">
        <w:rPr>
          <w:b/>
        </w:rPr>
        <w:t xml:space="preserve">Tabella </w:t>
      </w:r>
      <w:proofErr w:type="gramStart"/>
      <w:r w:rsidR="00883934">
        <w:rPr>
          <w:b/>
        </w:rPr>
        <w:t>7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i/>
        </w:rPr>
        <w:t xml:space="preserve">Risultati della prova di distacco sul biofilm cresciuto nel reattore </w:t>
      </w:r>
      <w:proofErr w:type="gramStart"/>
      <w:r>
        <w:rPr>
          <w:i/>
        </w:rPr>
        <w:t>ad  alta</w:t>
      </w:r>
      <w:proofErr w:type="gramEnd"/>
      <w:r>
        <w:rPr>
          <w:i/>
        </w:rPr>
        <w:t xml:space="preserve"> velocità</w:t>
      </w:r>
      <w:r w:rsidR="00842CA4">
        <w:rPr>
          <w:i/>
        </w:rPr>
        <w:t xml:space="preserve"> con nutrienti in proporzione ed età del biofilm di 10 giorni</w:t>
      </w:r>
    </w:p>
    <w:p w14:paraId="66956316" w14:textId="77777777" w:rsidR="002B1766" w:rsidRDefault="00C56BEC" w:rsidP="002B1766">
      <w:pPr>
        <w:jc w:val="both"/>
      </w:pPr>
      <w:r w:rsidRPr="00C56BEC">
        <w:rPr>
          <w:noProof/>
        </w:rPr>
        <w:drawing>
          <wp:inline distT="0" distB="0" distL="0" distR="0" wp14:anchorId="658EC5A8" wp14:editId="3141AAD4">
            <wp:extent cx="6120130" cy="2071297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06E" w14:textId="77777777" w:rsidR="002B1766" w:rsidRDefault="00E66400" w:rsidP="003D5CA3">
      <w:pPr>
        <w:tabs>
          <w:tab w:val="left" w:pos="3735"/>
        </w:tabs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3F4356F7" wp14:editId="45CFA8A6">
            <wp:extent cx="3947160" cy="2468369"/>
            <wp:effectExtent l="0" t="0" r="0" b="825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22" cy="2473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3E2D9" w14:textId="77777777" w:rsidR="002B1766" w:rsidRDefault="00842CA4" w:rsidP="002B1766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10</w:t>
      </w:r>
      <w:r w:rsidR="002B1766">
        <w:rPr>
          <w:b/>
        </w:rPr>
        <w:t xml:space="preserve">: </w:t>
      </w:r>
      <w:r w:rsidR="002B1766">
        <w:rPr>
          <w:i/>
        </w:rPr>
        <w:t>Cinetica di distacco reattore ad alti giri (1250 rpm)</w:t>
      </w:r>
      <w:r w:rsidR="008A7CD4">
        <w:rPr>
          <w:i/>
        </w:rPr>
        <w:t xml:space="preserve"> ed età del biofilm di 10 giorni </w:t>
      </w:r>
      <w:r w:rsidR="002B1766">
        <w:rPr>
          <w:i/>
        </w:rPr>
        <w:t>mediata sulle quattro repliche</w:t>
      </w:r>
    </w:p>
    <w:p w14:paraId="2D00E2A7" w14:textId="78988468" w:rsidR="00842CA4" w:rsidRPr="003D5CA3" w:rsidRDefault="00842CA4" w:rsidP="003D5CA3">
      <w:pPr>
        <w:tabs>
          <w:tab w:val="left" w:pos="3735"/>
        </w:tabs>
        <w:jc w:val="both"/>
      </w:pPr>
      <w:r>
        <w:t>La stessa procedura è stata eseguita sul biofilm co</w:t>
      </w:r>
      <w:r w:rsidR="00BD03AA">
        <w:t>n 20 giorni di età. I</w:t>
      </w:r>
      <w:r w:rsidR="00F741EB">
        <w:t>n tabella 8</w:t>
      </w:r>
      <w:r>
        <w:t xml:space="preserve"> sono</w:t>
      </w:r>
      <w:r w:rsidR="00E83752">
        <w:t xml:space="preserve"> riassunti i risultati del test, e nella figura 11 è mostrata la cinetica di distacco.</w:t>
      </w:r>
    </w:p>
    <w:p w14:paraId="1603E0CF" w14:textId="77777777" w:rsidR="00013998" w:rsidRDefault="00883934" w:rsidP="005D41A8">
      <w:pPr>
        <w:jc w:val="both"/>
        <w:rPr>
          <w:i/>
        </w:rPr>
      </w:pPr>
      <w:r>
        <w:rPr>
          <w:b/>
        </w:rPr>
        <w:t xml:space="preserve">Tabella </w:t>
      </w:r>
      <w:proofErr w:type="gramStart"/>
      <w:r>
        <w:rPr>
          <w:b/>
        </w:rPr>
        <w:t>8</w:t>
      </w:r>
      <w:r w:rsidR="00842CA4">
        <w:rPr>
          <w:b/>
        </w:rPr>
        <w:t xml:space="preserve"> :</w:t>
      </w:r>
      <w:proofErr w:type="gramEnd"/>
      <w:r w:rsidR="00842CA4">
        <w:rPr>
          <w:b/>
        </w:rPr>
        <w:t xml:space="preserve"> </w:t>
      </w:r>
      <w:r w:rsidR="00842CA4">
        <w:rPr>
          <w:i/>
        </w:rPr>
        <w:t xml:space="preserve">Risultati della prova di distacco sul biofilm cresciuto nel reattore </w:t>
      </w:r>
      <w:proofErr w:type="gramStart"/>
      <w:r w:rsidR="00842CA4">
        <w:rPr>
          <w:i/>
        </w:rPr>
        <w:t>ad  alta</w:t>
      </w:r>
      <w:proofErr w:type="gramEnd"/>
      <w:r w:rsidR="00842CA4">
        <w:rPr>
          <w:i/>
        </w:rPr>
        <w:t xml:space="preserve"> velocità con nutrienti in proporzione ed età del biofilm di 20 giorni</w:t>
      </w:r>
    </w:p>
    <w:p w14:paraId="2DD42B42" w14:textId="77777777" w:rsidR="00842CA4" w:rsidRDefault="00C56BEC" w:rsidP="005D41A8">
      <w:pPr>
        <w:jc w:val="both"/>
      </w:pPr>
      <w:r w:rsidRPr="00C56BEC">
        <w:rPr>
          <w:noProof/>
        </w:rPr>
        <w:drawing>
          <wp:inline distT="0" distB="0" distL="0" distR="0" wp14:anchorId="6E53AE41" wp14:editId="1B50DD1D">
            <wp:extent cx="6120130" cy="1713295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5672" w14:textId="77777777" w:rsidR="00E83752" w:rsidRDefault="00E66400" w:rsidP="003D5CA3">
      <w:pPr>
        <w:jc w:val="center"/>
      </w:pPr>
      <w:r>
        <w:rPr>
          <w:noProof/>
          <w:lang w:eastAsia="it-IT"/>
        </w:rPr>
        <w:drawing>
          <wp:inline distT="0" distB="0" distL="0" distR="0" wp14:anchorId="083F71C9" wp14:editId="35937D8E">
            <wp:extent cx="3962400" cy="238183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66" cy="238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D3A98" w14:textId="77777777" w:rsidR="00E83752" w:rsidRDefault="00E83752" w:rsidP="00E83752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11: </w:t>
      </w:r>
      <w:r>
        <w:rPr>
          <w:i/>
        </w:rPr>
        <w:t>Cinetica di distacco reattore ad alti giri (1250 rpm) ed età del biofilm di 20 giorni mediata sulle quattro repliche</w:t>
      </w:r>
    </w:p>
    <w:p w14:paraId="131D9145" w14:textId="77777777" w:rsidR="00842CA4" w:rsidRDefault="00842CA4" w:rsidP="005D41A8">
      <w:pPr>
        <w:jc w:val="both"/>
      </w:pPr>
      <w:r>
        <w:lastRenderedPageBreak/>
        <w:t>Come si evince dai risultati ci troviamo di fronte a un biofilm molto meno consistente rispetto a quello testato a dieci giorni, e come già acca</w:t>
      </w:r>
      <w:r w:rsidR="008A7CD4">
        <w:t>duto in prove precedenti la metodica di valutazione messa a punto</w:t>
      </w:r>
      <w:r>
        <w:t xml:space="preserve"> su biofilm </w:t>
      </w:r>
      <w:proofErr w:type="gramStart"/>
      <w:r>
        <w:t>cosi</w:t>
      </w:r>
      <w:proofErr w:type="gramEnd"/>
      <w:r>
        <w:t xml:space="preserve"> vecchi non è efficace.</w:t>
      </w:r>
      <w:r w:rsidR="007929C1">
        <w:t xml:space="preserve"> Anche la quantità totale di biomassa adesa è inferiore come g</w:t>
      </w:r>
      <w:r w:rsidR="00F741EB">
        <w:t xml:space="preserve">ià visto in </w:t>
      </w:r>
      <w:proofErr w:type="spellStart"/>
      <w:r w:rsidR="00F741EB">
        <w:t>fig</w:t>
      </w:r>
      <w:proofErr w:type="spellEnd"/>
      <w:r w:rsidR="00F741EB">
        <w:t xml:space="preserve"> 2 e in tabella 3</w:t>
      </w:r>
      <w:r w:rsidR="007929C1">
        <w:t>.</w:t>
      </w:r>
    </w:p>
    <w:p w14:paraId="705AB272" w14:textId="2045ABF2" w:rsidR="007929C1" w:rsidRDefault="007929C1" w:rsidP="007929C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2.4 Prove di distacco </w:t>
      </w:r>
      <w:proofErr w:type="spellStart"/>
      <w:r w:rsidR="00C27982">
        <w:rPr>
          <w:b/>
          <w:sz w:val="32"/>
          <w:szCs w:val="32"/>
        </w:rPr>
        <w:t>Disp.T</w:t>
      </w:r>
      <w:proofErr w:type="spellEnd"/>
      <w:r>
        <w:rPr>
          <w:b/>
          <w:sz w:val="32"/>
          <w:szCs w:val="32"/>
        </w:rPr>
        <w:t xml:space="preserve"> + </w:t>
      </w:r>
      <w:r w:rsidR="00C27982">
        <w:rPr>
          <w:b/>
          <w:sz w:val="32"/>
          <w:szCs w:val="32"/>
        </w:rPr>
        <w:t>B.</w:t>
      </w:r>
      <w:r>
        <w:rPr>
          <w:b/>
          <w:sz w:val="32"/>
          <w:szCs w:val="32"/>
        </w:rPr>
        <w:t xml:space="preserve">40 </w:t>
      </w:r>
      <w:r w:rsidR="0018527C">
        <w:rPr>
          <w:b/>
          <w:sz w:val="32"/>
          <w:szCs w:val="32"/>
        </w:rPr>
        <w:t xml:space="preserve">su </w:t>
      </w:r>
      <w:r>
        <w:rPr>
          <w:b/>
          <w:sz w:val="32"/>
          <w:szCs w:val="32"/>
        </w:rPr>
        <w:t>biofilm</w:t>
      </w:r>
      <w:r w:rsidR="0018527C">
        <w:rPr>
          <w:b/>
          <w:sz w:val="32"/>
          <w:szCs w:val="32"/>
        </w:rPr>
        <w:t xml:space="preserve"> di</w:t>
      </w:r>
      <w:r>
        <w:rPr>
          <w:b/>
          <w:sz w:val="32"/>
          <w:szCs w:val="32"/>
        </w:rPr>
        <w:t xml:space="preserve"> 10 giorni e nutrienti in eccesso</w:t>
      </w:r>
    </w:p>
    <w:p w14:paraId="32F0B2DE" w14:textId="76447B5D" w:rsidR="007929C1" w:rsidRDefault="007929C1" w:rsidP="003D5CA3">
      <w:pPr>
        <w:jc w:val="both"/>
      </w:pPr>
      <w:r>
        <w:t xml:space="preserve">Da queste prove si vede che il risultato della prova di distacco con il disperdente </w:t>
      </w:r>
      <w:proofErr w:type="spellStart"/>
      <w:r w:rsidR="00C27982">
        <w:t>Disp.T</w:t>
      </w:r>
      <w:proofErr w:type="spellEnd"/>
      <w:r>
        <w:t xml:space="preserve"> è </w:t>
      </w:r>
      <w:r w:rsidR="00BD5CB9">
        <w:t xml:space="preserve">ancora una volta </w:t>
      </w:r>
      <w:r>
        <w:t>positivo</w:t>
      </w:r>
      <w:r w:rsidR="00BD5CB9">
        <w:t xml:space="preserve"> ciò a dimostrare la consistenza dei dati ottenuti in precedenza con tale </w:t>
      </w:r>
      <w:proofErr w:type="spellStart"/>
      <w:r w:rsidR="00BD5CB9">
        <w:t>biodisperdente</w:t>
      </w:r>
      <w:proofErr w:type="spellEnd"/>
      <w:r w:rsidR="00BD5CB9">
        <w:t xml:space="preserve"> green</w:t>
      </w:r>
      <w:r>
        <w:t xml:space="preserve">. </w:t>
      </w:r>
      <w:r w:rsidR="00F741EB">
        <w:t>In tabella 9</w:t>
      </w:r>
      <w:r>
        <w:t xml:space="preserve"> possiamo vedere i risulta</w:t>
      </w:r>
      <w:r w:rsidR="00BD5CB9">
        <w:t>ti ottenuti</w:t>
      </w:r>
      <w:r>
        <w:t>.</w:t>
      </w:r>
    </w:p>
    <w:p w14:paraId="570ACF74" w14:textId="77777777" w:rsidR="007929C1" w:rsidRDefault="007929C1" w:rsidP="007929C1">
      <w:pPr>
        <w:tabs>
          <w:tab w:val="left" w:pos="3735"/>
        </w:tabs>
        <w:jc w:val="both"/>
        <w:rPr>
          <w:i/>
        </w:rPr>
      </w:pPr>
      <w:r>
        <w:t xml:space="preserve"> </w:t>
      </w:r>
      <w:r w:rsidR="00883934">
        <w:rPr>
          <w:b/>
        </w:rPr>
        <w:t xml:space="preserve">Tabella </w:t>
      </w:r>
      <w:proofErr w:type="gramStart"/>
      <w:r w:rsidR="00883934">
        <w:rPr>
          <w:b/>
        </w:rPr>
        <w:t>9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i/>
        </w:rPr>
        <w:t xml:space="preserve">Risultati della prova di distacco sul biofilm cresciuto nel reattore </w:t>
      </w:r>
      <w:proofErr w:type="gramStart"/>
      <w:r>
        <w:rPr>
          <w:i/>
        </w:rPr>
        <w:t>ad  alta</w:t>
      </w:r>
      <w:proofErr w:type="gramEnd"/>
      <w:r>
        <w:rPr>
          <w:i/>
        </w:rPr>
        <w:t xml:space="preserve"> velocità con nutrienti in eccesso ed età del biofilm di 10 giorni</w:t>
      </w:r>
    </w:p>
    <w:p w14:paraId="755A8510" w14:textId="50FB1DC4" w:rsidR="007929C1" w:rsidRDefault="000E6ADD" w:rsidP="005D41A8">
      <w:pPr>
        <w:jc w:val="both"/>
      </w:pPr>
      <w:r w:rsidRPr="000E6ADD">
        <w:rPr>
          <w:noProof/>
        </w:rPr>
        <w:drawing>
          <wp:inline distT="0" distB="0" distL="0" distR="0" wp14:anchorId="772D593E" wp14:editId="21C58A86">
            <wp:extent cx="6120130" cy="1713295"/>
            <wp:effectExtent l="0" t="0" r="0" b="127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AB07" w14:textId="77777777" w:rsidR="0018527C" w:rsidRDefault="0018527C" w:rsidP="0018527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2.5 Prove di distacco CH 7464 su biofilm di 10 giorni e nutrienti in eccesso</w:t>
      </w:r>
    </w:p>
    <w:p w14:paraId="12F41537" w14:textId="38DEA8B6" w:rsidR="003D5CA3" w:rsidRDefault="0018527C" w:rsidP="003D5CA3">
      <w:pPr>
        <w:jc w:val="both"/>
      </w:pPr>
      <w:r>
        <w:t xml:space="preserve">Da queste </w:t>
      </w:r>
      <w:r w:rsidR="00D1423F">
        <w:t>prove si vede che il risultato nella prova di distacco</w:t>
      </w:r>
      <w:r>
        <w:t xml:space="preserve"> il di</w:t>
      </w:r>
      <w:r w:rsidR="00D1423F">
        <w:t xml:space="preserve">sperdente CH 7464 ha mostrato una efficacia costante di distacco in tutte le repliche. </w:t>
      </w:r>
      <w:proofErr w:type="gramStart"/>
      <w:r w:rsidR="00D1423F">
        <w:t>Tuttavia</w:t>
      </w:r>
      <w:proofErr w:type="gramEnd"/>
      <w:r w:rsidR="00D1423F">
        <w:t xml:space="preserve"> la media penalizza il risultato ottenuto (è praticamente uguale al bianco di controllo), ma guardando </w:t>
      </w:r>
      <w:proofErr w:type="gramStart"/>
      <w:r w:rsidR="00D1423F">
        <w:t>la  deviazione</w:t>
      </w:r>
      <w:proofErr w:type="gramEnd"/>
      <w:r w:rsidR="00D1423F">
        <w:t xml:space="preserve"> </w:t>
      </w:r>
      <w:proofErr w:type="gramStart"/>
      <w:r w:rsidR="00D1423F">
        <w:t>standard  possiamo</w:t>
      </w:r>
      <w:proofErr w:type="gramEnd"/>
      <w:r w:rsidR="00D1423F">
        <w:t xml:space="preserve"> dire che il dato ottenuto con il disperdente è molto più affidabile rispetto al dato del bianco di controllo.</w:t>
      </w:r>
      <w:r>
        <w:t xml:space="preserve"> In tabella </w:t>
      </w:r>
      <w:r w:rsidR="00F741EB">
        <w:t>10</w:t>
      </w:r>
      <w:r>
        <w:t xml:space="preserve"> possiamo vedere i risultati ottenuti, mentre la figura 13 mostra la cinetica di distacco nel tempo.</w:t>
      </w:r>
    </w:p>
    <w:p w14:paraId="75DE5A0B" w14:textId="77777777" w:rsidR="0018527C" w:rsidRDefault="0018527C" w:rsidP="0018527C">
      <w:pPr>
        <w:tabs>
          <w:tab w:val="left" w:pos="3735"/>
        </w:tabs>
        <w:jc w:val="both"/>
        <w:rPr>
          <w:i/>
        </w:rPr>
      </w:pPr>
      <w:r>
        <w:t xml:space="preserve"> </w:t>
      </w:r>
      <w:r w:rsidR="00883934">
        <w:rPr>
          <w:b/>
        </w:rPr>
        <w:t xml:space="preserve">Tabella </w:t>
      </w:r>
      <w:proofErr w:type="gramStart"/>
      <w:r w:rsidR="00883934">
        <w:rPr>
          <w:b/>
        </w:rPr>
        <w:t>10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i/>
        </w:rPr>
        <w:t xml:space="preserve">Risultati della prova di distacco sul biofilm cresciuto nel reattore </w:t>
      </w:r>
      <w:proofErr w:type="gramStart"/>
      <w:r>
        <w:rPr>
          <w:i/>
        </w:rPr>
        <w:t>ad  alta</w:t>
      </w:r>
      <w:proofErr w:type="gramEnd"/>
      <w:r>
        <w:rPr>
          <w:i/>
        </w:rPr>
        <w:t xml:space="preserve"> velocità con nutrienti in eccesso ed età del biofilm di 10 giorni</w:t>
      </w:r>
    </w:p>
    <w:p w14:paraId="6E3151E7" w14:textId="77777777" w:rsidR="0018527C" w:rsidRDefault="000E6ADD" w:rsidP="0018527C">
      <w:pPr>
        <w:jc w:val="both"/>
      </w:pPr>
      <w:r w:rsidRPr="000E6ADD">
        <w:rPr>
          <w:noProof/>
        </w:rPr>
        <w:drawing>
          <wp:inline distT="0" distB="0" distL="0" distR="0" wp14:anchorId="1CC400DA" wp14:editId="26617620">
            <wp:extent cx="6120130" cy="1713295"/>
            <wp:effectExtent l="0" t="0" r="0" b="127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F922" w14:textId="77777777" w:rsidR="0018527C" w:rsidRDefault="00BF0316" w:rsidP="003D5CA3">
      <w:pPr>
        <w:tabs>
          <w:tab w:val="left" w:pos="3735"/>
        </w:tabs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03FD75AE" wp14:editId="2D9855B3">
            <wp:extent cx="4584700" cy="2755900"/>
            <wp:effectExtent l="0" t="0" r="635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5950B" w14:textId="77777777" w:rsidR="0018527C" w:rsidRDefault="0018527C" w:rsidP="0018527C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13: </w:t>
      </w:r>
      <w:r>
        <w:rPr>
          <w:i/>
        </w:rPr>
        <w:t xml:space="preserve">Cinetica di distacco </w:t>
      </w:r>
      <w:r w:rsidR="008A7CD4">
        <w:rPr>
          <w:i/>
        </w:rPr>
        <w:t>disperdente CH 7464</w:t>
      </w:r>
      <w:r>
        <w:rPr>
          <w:i/>
        </w:rPr>
        <w:t xml:space="preserve"> mediata sulle quattro repliche</w:t>
      </w:r>
    </w:p>
    <w:p w14:paraId="7953C566" w14:textId="77777777" w:rsidR="0018527C" w:rsidRDefault="0018527C" w:rsidP="0018527C">
      <w:pPr>
        <w:jc w:val="both"/>
      </w:pPr>
    </w:p>
    <w:p w14:paraId="1DC8C44E" w14:textId="77777777" w:rsidR="0018527C" w:rsidRDefault="0018527C" w:rsidP="0018527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2.5 Prove di distacco UTW 117 su biofilm di 10 giorni e nutrienti in eccesso</w:t>
      </w:r>
    </w:p>
    <w:p w14:paraId="3A1FADB1" w14:textId="21A01653" w:rsidR="0018527C" w:rsidRDefault="0018527C" w:rsidP="0018527C">
      <w:pPr>
        <w:jc w:val="both"/>
      </w:pPr>
      <w:r>
        <w:t xml:space="preserve">Da queste prove si vede che il risultato della prova di distacco con il disperdente UTW 117 è stata buona ma comunque con un’efficacia di distacco inferiore rispetto al </w:t>
      </w:r>
      <w:proofErr w:type="spellStart"/>
      <w:r w:rsidR="00C27982">
        <w:t>Disp.T</w:t>
      </w:r>
      <w:proofErr w:type="spellEnd"/>
      <w:r w:rsidR="008A7CD4">
        <w:t xml:space="preserve"> nelle medesime condizioni</w:t>
      </w:r>
      <w:r>
        <w:t xml:space="preserve">. </w:t>
      </w:r>
      <w:r w:rsidR="00F741EB">
        <w:t>In tabella 11</w:t>
      </w:r>
      <w:r>
        <w:t xml:space="preserve"> possiamo vedere i risulta</w:t>
      </w:r>
      <w:r w:rsidR="008A7CD4">
        <w:t>ti ottenuti, mentre la figura 14</w:t>
      </w:r>
      <w:r>
        <w:t xml:space="preserve"> mostra la cinetica di distacco nel tempo.</w:t>
      </w:r>
    </w:p>
    <w:p w14:paraId="0A4958DE" w14:textId="77777777" w:rsidR="0044789D" w:rsidRDefault="0044789D" w:rsidP="0018527C">
      <w:pPr>
        <w:tabs>
          <w:tab w:val="left" w:pos="3735"/>
        </w:tabs>
        <w:jc w:val="both"/>
      </w:pPr>
    </w:p>
    <w:p w14:paraId="3AE2E662" w14:textId="77777777" w:rsidR="0018527C" w:rsidRDefault="0018527C" w:rsidP="0018527C">
      <w:pPr>
        <w:tabs>
          <w:tab w:val="left" w:pos="3735"/>
        </w:tabs>
        <w:jc w:val="both"/>
        <w:rPr>
          <w:i/>
        </w:rPr>
      </w:pPr>
      <w:r>
        <w:t xml:space="preserve"> </w:t>
      </w:r>
      <w:r w:rsidR="00883934">
        <w:rPr>
          <w:b/>
        </w:rPr>
        <w:t xml:space="preserve">Tabella </w:t>
      </w:r>
      <w:proofErr w:type="gramStart"/>
      <w:r w:rsidR="00883934">
        <w:rPr>
          <w:b/>
        </w:rPr>
        <w:t>11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i/>
        </w:rPr>
        <w:t xml:space="preserve">Risultati della prova di distacco sul biofilm cresciuto nel reattore </w:t>
      </w:r>
      <w:proofErr w:type="gramStart"/>
      <w:r>
        <w:rPr>
          <w:i/>
        </w:rPr>
        <w:t>ad  alta</w:t>
      </w:r>
      <w:proofErr w:type="gramEnd"/>
      <w:r>
        <w:rPr>
          <w:i/>
        </w:rPr>
        <w:t xml:space="preserve"> velocità con nutrienti in eccesso ed età del biofilm di 10 giorni</w:t>
      </w:r>
    </w:p>
    <w:p w14:paraId="5AE98C1B" w14:textId="77777777" w:rsidR="003D5CA3" w:rsidRDefault="003D5CA3" w:rsidP="0018527C">
      <w:pPr>
        <w:tabs>
          <w:tab w:val="left" w:pos="3735"/>
        </w:tabs>
        <w:jc w:val="both"/>
        <w:rPr>
          <w:i/>
        </w:rPr>
      </w:pPr>
    </w:p>
    <w:p w14:paraId="2DAD1E1C" w14:textId="77777777" w:rsidR="0018527C" w:rsidRDefault="000E6ADD" w:rsidP="0018527C">
      <w:pPr>
        <w:jc w:val="both"/>
      </w:pPr>
      <w:r w:rsidRPr="000E6ADD">
        <w:rPr>
          <w:noProof/>
        </w:rPr>
        <w:drawing>
          <wp:inline distT="0" distB="0" distL="0" distR="0" wp14:anchorId="481C846D" wp14:editId="09111F9E">
            <wp:extent cx="6120130" cy="1713295"/>
            <wp:effectExtent l="0" t="0" r="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F036" w14:textId="77777777" w:rsidR="0018527C" w:rsidRDefault="00BF0316" w:rsidP="003D5CA3">
      <w:pPr>
        <w:tabs>
          <w:tab w:val="left" w:pos="3735"/>
        </w:tabs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0F6B7F4" wp14:editId="43FBF763">
            <wp:extent cx="4584700" cy="27559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431DF" w14:textId="77777777" w:rsidR="0018527C" w:rsidRDefault="0018527C" w:rsidP="0018527C">
      <w:pPr>
        <w:tabs>
          <w:tab w:val="left" w:pos="3735"/>
        </w:tabs>
        <w:jc w:val="both"/>
        <w:rPr>
          <w:i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1</w:t>
      </w:r>
      <w:r w:rsidR="008A7CD4">
        <w:rPr>
          <w:b/>
        </w:rPr>
        <w:t>4</w:t>
      </w:r>
      <w:r>
        <w:rPr>
          <w:b/>
        </w:rPr>
        <w:t xml:space="preserve">: </w:t>
      </w:r>
      <w:r>
        <w:rPr>
          <w:i/>
        </w:rPr>
        <w:t xml:space="preserve">Cinetica di distacco </w:t>
      </w:r>
      <w:proofErr w:type="spellStart"/>
      <w:r w:rsidR="008A7CD4">
        <w:rPr>
          <w:i/>
        </w:rPr>
        <w:t>disperente</w:t>
      </w:r>
      <w:proofErr w:type="spellEnd"/>
      <w:r w:rsidR="008A7CD4">
        <w:rPr>
          <w:i/>
        </w:rPr>
        <w:t xml:space="preserve"> UTW 117</w:t>
      </w:r>
      <w:r>
        <w:rPr>
          <w:i/>
        </w:rPr>
        <w:t xml:space="preserve"> mediata sulle quattro repliche</w:t>
      </w:r>
    </w:p>
    <w:p w14:paraId="3C5F1A76" w14:textId="77777777" w:rsidR="00BD03AA" w:rsidRDefault="00BD03AA" w:rsidP="00BD03AA">
      <w:pPr>
        <w:jc w:val="both"/>
        <w:rPr>
          <w:b/>
          <w:sz w:val="36"/>
          <w:szCs w:val="36"/>
        </w:rPr>
      </w:pPr>
    </w:p>
    <w:p w14:paraId="2786E341" w14:textId="77777777" w:rsidR="00BD03AA" w:rsidRDefault="00BD03AA" w:rsidP="00BD03A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 Conclusioni</w:t>
      </w:r>
    </w:p>
    <w:p w14:paraId="7CC90BE7" w14:textId="77777777" w:rsidR="0044789D" w:rsidRDefault="00BD03AA" w:rsidP="00BD03AA">
      <w:pPr>
        <w:pStyle w:val="Paragrafoelenco"/>
        <w:numPr>
          <w:ilvl w:val="0"/>
          <w:numId w:val="6"/>
        </w:numPr>
        <w:jc w:val="both"/>
      </w:pPr>
      <w:r>
        <w:t>Dai dati ottenuti si evince che biofilm di età maggiore a 10 giorni sono meno abbondanti e men</w:t>
      </w:r>
      <w:r w:rsidR="00491F00">
        <w:t>o</w:t>
      </w:r>
      <w:r>
        <w:t xml:space="preserve"> consistenti rispetto a biofilm di 10 giorni (vedi tabella 2 e tabella 6). </w:t>
      </w:r>
      <w:proofErr w:type="gramStart"/>
      <w:r>
        <w:t>Pertanto</w:t>
      </w:r>
      <w:proofErr w:type="gramEnd"/>
      <w:r>
        <w:t xml:space="preserve"> </w:t>
      </w:r>
      <w:r w:rsidR="007B4FE8">
        <w:t xml:space="preserve">ci conferma l’opportunità di utilizzare un biofilm di </w:t>
      </w:r>
      <w:proofErr w:type="gramStart"/>
      <w:r w:rsidR="007B4FE8">
        <w:t>10</w:t>
      </w:r>
      <w:proofErr w:type="gramEnd"/>
      <w:r w:rsidR="007B4FE8">
        <w:t xml:space="preserve"> giorni per tale prova</w:t>
      </w:r>
      <w:r w:rsidR="0044789D">
        <w:t>.</w:t>
      </w:r>
    </w:p>
    <w:p w14:paraId="47DA8E36" w14:textId="77777777" w:rsidR="0044789D" w:rsidRDefault="0044789D" w:rsidP="007B4FE8">
      <w:pPr>
        <w:pStyle w:val="Paragrafoelenco"/>
        <w:numPr>
          <w:ilvl w:val="0"/>
          <w:numId w:val="6"/>
        </w:numPr>
        <w:jc w:val="both"/>
      </w:pPr>
      <w:r>
        <w:t>Per quanto riguarda inve</w:t>
      </w:r>
      <w:r w:rsidR="007B4FE8">
        <w:t xml:space="preserve">ce le </w:t>
      </w:r>
      <w:proofErr w:type="gramStart"/>
      <w:r w:rsidR="007B4FE8">
        <w:t xml:space="preserve">proporzioni </w:t>
      </w:r>
      <w:r>
        <w:t xml:space="preserve"> di</w:t>
      </w:r>
      <w:proofErr w:type="gramEnd"/>
      <w:r>
        <w:t xml:space="preserve"> azoto e fosforo</w:t>
      </w:r>
      <w:r w:rsidR="007B4FE8">
        <w:t xml:space="preserve"> opportunamente aggiunti in quantità maggiore hanno comportato una maggiore quantità di biofilm formato</w:t>
      </w:r>
      <w:r>
        <w:t>. Ci si propone per il futuro di analizzare al meglio questo aspetto.</w:t>
      </w:r>
    </w:p>
    <w:p w14:paraId="268E79AC" w14:textId="33E5BB6E" w:rsidR="00F421A3" w:rsidRDefault="0044789D" w:rsidP="0044789D">
      <w:pPr>
        <w:pStyle w:val="Paragrafoelenco"/>
        <w:numPr>
          <w:ilvl w:val="0"/>
          <w:numId w:val="6"/>
        </w:numPr>
        <w:jc w:val="both"/>
      </w:pPr>
      <w:r>
        <w:t xml:space="preserve">Si evince poi dai dati di distacco tra i diversi disperdenti che ancora una volta il </w:t>
      </w:r>
      <w:proofErr w:type="spellStart"/>
      <w:r w:rsidR="00C27982">
        <w:t>Disp.T</w:t>
      </w:r>
      <w:proofErr w:type="spellEnd"/>
      <w:r>
        <w:t xml:space="preserve"> h</w:t>
      </w:r>
      <w:r w:rsidR="00812D99">
        <w:t>a</w:t>
      </w:r>
      <w:r>
        <w:t xml:space="preserve"> mostrato la migliore efficacia di distacco media (tabella 9) risp</w:t>
      </w:r>
      <w:r w:rsidR="007B4FE8">
        <w:t xml:space="preserve">etto agli altri due disperdenti, seguito dal </w:t>
      </w:r>
      <w:r>
        <w:t>disperdente green sperimentale UTW 117</w:t>
      </w:r>
      <w:r w:rsidR="007B4FE8">
        <w:t xml:space="preserve">, entrambi maggiori del </w:t>
      </w:r>
      <w:r>
        <w:t>CH 7464 che ancora una volta ha avuto comportamento simile al bianco di controllo (</w:t>
      </w:r>
      <w:proofErr w:type="gramStart"/>
      <w:r>
        <w:t xml:space="preserve">tabelle </w:t>
      </w:r>
      <w:r w:rsidR="00BD03AA">
        <w:t xml:space="preserve"> </w:t>
      </w:r>
      <w:r>
        <w:t>9</w:t>
      </w:r>
      <w:proofErr w:type="gramEnd"/>
      <w:r>
        <w:t xml:space="preserve"> e 10). Tale </w:t>
      </w:r>
      <w:r w:rsidR="00812D99">
        <w:t>comportamento</w:t>
      </w:r>
      <w:r w:rsidR="007B4FE8">
        <w:t xml:space="preserve"> come più volte ipotizzato in passato</w:t>
      </w:r>
      <w:r w:rsidR="00812D99">
        <w:t xml:space="preserve"> è dovuto presumibilmente alla natura</w:t>
      </w:r>
      <w:r w:rsidR="00F421A3">
        <w:t xml:space="preserve"> biocida</w:t>
      </w:r>
      <w:r w:rsidR="00812D99">
        <w:t xml:space="preserve"> del prodotto</w:t>
      </w:r>
      <w:r w:rsidR="00F421A3">
        <w:t>,</w:t>
      </w:r>
      <w:r w:rsidR="00812D99">
        <w:t xml:space="preserve"> più efficace nella prevenzione della formazione del biofi</w:t>
      </w:r>
      <w:r w:rsidR="00F421A3">
        <w:t>lm piuttosto che sul</w:t>
      </w:r>
      <w:r w:rsidR="00812D99">
        <w:t xml:space="preserve"> distacco. </w:t>
      </w:r>
    </w:p>
    <w:p w14:paraId="42DE7CF9" w14:textId="2EFCFCDA" w:rsidR="00BD03AA" w:rsidRPr="00BD03AA" w:rsidRDefault="00812D99" w:rsidP="0044789D">
      <w:pPr>
        <w:pStyle w:val="Paragrafoelenco"/>
        <w:numPr>
          <w:ilvl w:val="0"/>
          <w:numId w:val="6"/>
        </w:numPr>
        <w:jc w:val="both"/>
      </w:pPr>
      <w:r>
        <w:t>Si aggiunge però che tale biofilm è cresciuto</w:t>
      </w:r>
      <w:r w:rsidR="00F421A3">
        <w:t xml:space="preserve"> in condizioni più spedite e perciò diverse da quelle nelle torri di raffreddamento reali.</w:t>
      </w:r>
      <w:r>
        <w:t xml:space="preserve"> nelle migliori condizioni possibili e che pertanto è differente dalle condizioni presenti in una torre di raffreddame</w:t>
      </w:r>
      <w:r w:rsidR="00F421A3">
        <w:t xml:space="preserve">nto </w:t>
      </w:r>
      <w:proofErr w:type="gramStart"/>
      <w:r w:rsidR="00F421A3">
        <w:t>reale nonostante ciò</w:t>
      </w:r>
      <w:proofErr w:type="gramEnd"/>
      <w:r w:rsidR="00F421A3">
        <w:t xml:space="preserve"> il </w:t>
      </w:r>
      <w:proofErr w:type="spellStart"/>
      <w:r w:rsidR="00C27982">
        <w:t>Disp.T</w:t>
      </w:r>
      <w:proofErr w:type="spellEnd"/>
      <w:r w:rsidR="00F421A3">
        <w:t xml:space="preserve"> mostra una buona efficacia di distacco rispetto anche al prodotto CH7464, attualmente prodotto e da tempo utilizzato per il controllo del </w:t>
      </w:r>
      <w:proofErr w:type="spellStart"/>
      <w:r w:rsidR="00F421A3">
        <w:t>biofuling</w:t>
      </w:r>
      <w:proofErr w:type="spellEnd"/>
      <w:r w:rsidR="00F421A3">
        <w:t xml:space="preserve"> nelle torri di raffreddamento. </w:t>
      </w:r>
    </w:p>
    <w:p w14:paraId="6C6D2CDA" w14:textId="77777777" w:rsidR="0018527C" w:rsidRDefault="0018527C" w:rsidP="005D41A8">
      <w:pPr>
        <w:jc w:val="both"/>
      </w:pPr>
    </w:p>
    <w:sectPr w:rsidR="001852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4DB"/>
    <w:multiLevelType w:val="hybridMultilevel"/>
    <w:tmpl w:val="E1540B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375B"/>
    <w:multiLevelType w:val="hybridMultilevel"/>
    <w:tmpl w:val="809A149E"/>
    <w:lvl w:ilvl="0" w:tplc="68F4B724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2CE8"/>
    <w:multiLevelType w:val="hybridMultilevel"/>
    <w:tmpl w:val="8B14E0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F4D7C"/>
    <w:multiLevelType w:val="hybridMultilevel"/>
    <w:tmpl w:val="1F9CE7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15CB5"/>
    <w:multiLevelType w:val="hybridMultilevel"/>
    <w:tmpl w:val="B9521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0C61"/>
    <w:multiLevelType w:val="hybridMultilevel"/>
    <w:tmpl w:val="9940D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0F02"/>
    <w:multiLevelType w:val="hybridMultilevel"/>
    <w:tmpl w:val="BFA803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9559307">
    <w:abstractNumId w:val="1"/>
  </w:num>
  <w:num w:numId="2" w16cid:durableId="850028334">
    <w:abstractNumId w:val="3"/>
  </w:num>
  <w:num w:numId="3" w16cid:durableId="1005673988">
    <w:abstractNumId w:val="2"/>
  </w:num>
  <w:num w:numId="4" w16cid:durableId="963924406">
    <w:abstractNumId w:val="0"/>
  </w:num>
  <w:num w:numId="5" w16cid:durableId="1249652040">
    <w:abstractNumId w:val="4"/>
  </w:num>
  <w:num w:numId="6" w16cid:durableId="2076469569">
    <w:abstractNumId w:val="6"/>
  </w:num>
  <w:num w:numId="7" w16cid:durableId="1272011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7C9"/>
    <w:rsid w:val="00013998"/>
    <w:rsid w:val="00095376"/>
    <w:rsid w:val="000E6ADD"/>
    <w:rsid w:val="000F21D9"/>
    <w:rsid w:val="00134D5D"/>
    <w:rsid w:val="00164333"/>
    <w:rsid w:val="0018527C"/>
    <w:rsid w:val="002B1766"/>
    <w:rsid w:val="002F6A23"/>
    <w:rsid w:val="0032005C"/>
    <w:rsid w:val="003B25B2"/>
    <w:rsid w:val="003D5CA3"/>
    <w:rsid w:val="003E177C"/>
    <w:rsid w:val="0044789D"/>
    <w:rsid w:val="00476E59"/>
    <w:rsid w:val="00491F00"/>
    <w:rsid w:val="0051056C"/>
    <w:rsid w:val="005D41A8"/>
    <w:rsid w:val="006C56C4"/>
    <w:rsid w:val="00751FEB"/>
    <w:rsid w:val="007929C1"/>
    <w:rsid w:val="007B4FE8"/>
    <w:rsid w:val="007E4721"/>
    <w:rsid w:val="00812D99"/>
    <w:rsid w:val="00842CA4"/>
    <w:rsid w:val="00883934"/>
    <w:rsid w:val="008A7CD4"/>
    <w:rsid w:val="00A80ABD"/>
    <w:rsid w:val="00AB77C9"/>
    <w:rsid w:val="00AD6BF0"/>
    <w:rsid w:val="00AE5DE4"/>
    <w:rsid w:val="00B303EB"/>
    <w:rsid w:val="00BD03AA"/>
    <w:rsid w:val="00BD5CB9"/>
    <w:rsid w:val="00BF0316"/>
    <w:rsid w:val="00C27982"/>
    <w:rsid w:val="00C56BEC"/>
    <w:rsid w:val="00CB3FC0"/>
    <w:rsid w:val="00CF116D"/>
    <w:rsid w:val="00CF1EBF"/>
    <w:rsid w:val="00D1423F"/>
    <w:rsid w:val="00D97EC6"/>
    <w:rsid w:val="00DC440A"/>
    <w:rsid w:val="00E66400"/>
    <w:rsid w:val="00E83752"/>
    <w:rsid w:val="00F0631D"/>
    <w:rsid w:val="00F421A3"/>
    <w:rsid w:val="00F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833F"/>
  <w15:docId w15:val="{3FC4BD97-3337-47F2-BBED-B008A3D2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4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41A8"/>
    <w:pPr>
      <w:ind w:left="720"/>
      <w:contextualSpacing/>
    </w:pPr>
  </w:style>
  <w:style w:type="table" w:styleId="Sfondochiaro-Colore5">
    <w:name w:val="Light Shading Accent 5"/>
    <w:basedOn w:val="Tabellanormale"/>
    <w:uiPriority w:val="60"/>
    <w:rsid w:val="005D41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41A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13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1-Colore1">
    <w:name w:val="Medium List 1 Accent 1"/>
    <w:basedOn w:val="Tabellanormale"/>
    <w:uiPriority w:val="65"/>
    <w:rsid w:val="000139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fondomedio2-Colore6">
    <w:name w:val="Medium Shading 2 Accent 6"/>
    <w:basedOn w:val="Tabellanormale"/>
    <w:uiPriority w:val="64"/>
    <w:rsid w:val="0001399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 Buccolini</cp:lastModifiedBy>
  <cp:revision>22</cp:revision>
  <cp:lastPrinted>2017-04-11T13:30:00Z</cp:lastPrinted>
  <dcterms:created xsi:type="dcterms:W3CDTF">2017-04-10T14:42:00Z</dcterms:created>
  <dcterms:modified xsi:type="dcterms:W3CDTF">2025-05-13T10:13:00Z</dcterms:modified>
</cp:coreProperties>
</file>