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 Bank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Go、Gin、PostgreSQL、docker、git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使用dbdiagram.io写SQL代码并将其转化为sql文件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使用golang-migrate进行数据库版本管理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使用sqlc进行ORM映射数据库操作函数的生成，使用pgx作为连接PostgreSQL的引擎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对于sqlc生成的函数进行二次封装，并编写详细的测试操作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基于gin编写服务器代码，包括路由对应的函数、路由组、验证器中间件等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yN2RmNzY5ZjU4YWFiOTRhM2Y1NWNkYThkZGM2OTEifQ=="/>
  </w:docVars>
  <w:rsids>
    <w:rsidRoot w:val="00000000"/>
    <w:rsid w:val="38C17645"/>
    <w:rsid w:val="4A76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2024-05-27T07:38:42Z</dcterms:created>
  <dc:creator>sdwan</dc:creator>
  <cp:lastModifiedBy>Kingskyone</cp:lastModifiedBy>
  <dcterms:modified xsi:type="dcterms:W3CDTF">2024-05-27T09:47:54Z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E1D1F6A39EFC4704B5E32E1B50D270FB_12</vt:lpwstr>
  </property>
</Properties>
</file>