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MEDREx — Medical Report Extraction and Classification</w:t>
      </w:r>
    </w:p>
    <w:p>
      <w:r>
        <w:rPr>
          <w:b/>
          <w:bCs/>
        </w:rPr>
        <w:t xml:space="preserve">Masters Project | CSC-590 | CSUDH Spring 2026</w:t>
      </w:r>
    </w:p>
    <w:p>
      <w:r>
        <w:rPr>
          <w:b/>
          <w:bCs/>
        </w:rPr>
        <w:t xml:space="preserve">Student:</w:t>
      </w:r>
      <w:r>
        <w:t xml:space="preserve"> Kingslee Dominic Savio Velu</w:t>
      </w:r>
    </w:p>
    <w:p>
      <w:r>
        <w:rPr>
          <w:b/>
          <w:bCs/>
        </w:rPr>
        <w:t xml:space="preserve">Mentor:</w:t>
      </w:r>
      <w:r>
        <w:t xml:space="preserve"> Dr. Bin Tang</w:t>
      </w:r>
    </w:p>
    <w:p>
      <w:r>
        <w:rPr>
          <w:b/>
          <w:bCs/>
        </w:rPr>
        <w:t xml:space="preserve">Sponsor:</w:t>
      </w:r>
      <w:r>
        <w:t xml:space="preserve"> Cedars-Sinai AI Campus — Project #32</w:t>
      </w:r>
    </w:p>
    <w:p>
      <w:pPr>
        <w:pBdr>
          <w:left w:val="single" w:color="1F4E79" w:sz="18" w:space="8"/>
        </w:pBdr>
        <w:shd w:fill="EEF3F8" w:color="auto" w:val="clear"/>
        <w:ind w:left="360"/>
      </w:pPr>
      <w:r>
        <w:rPr>
          <w:i/>
          <w:iCs/>
        </w:rPr>
        <w:t xml:space="preserve">For the full technical write-up (dataset, every method's settings, per-class results, known issues), see </w:t>
      </w:r>
      <w:hyperlink w:history="1" r:id="rIdwica0pmdmv4lwgcvht6ej">
        <w:r>
          <w:rPr>
            <w:rStyle w:val="Hyperlink"/>
            <w:i/>
            <w:iCs/>
          </w:rPr>
          <w:t xml:space="preserve">PROJECT_DETAILS.md</w:t>
        </w:r>
      </w:hyperlink>
      <w:r>
        <w:rPr>
          <w:i/>
          <w:iCs/>
        </w:rPr>
        <w:t xml:space="preserve">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Project Overview</w:t>
      </w:r>
    </w:p>
    <w:p>
      <w:r>
        <w:t xml:space="preserve">MEDREx compares six NLP methods for classifying cancer types from TCGA pathology reports. Each method predicts one of </w:t>
      </w:r>
      <w:r>
        <w:rPr>
          <w:b/>
          <w:bCs/>
        </w:rPr>
        <w:t xml:space="preserve">32 cancer types</w:t>
      </w:r>
      <w:r>
        <w:t xml:space="preserve"> from the free text of a report, using approaches that range from classical TF-IDF to Retrieval-Augmented Generation (RAG).</w:t>
      </w:r>
    </w:p>
    <w:p>
      <w:r>
        <w:rPr>
          <w:b/>
          <w:bCs/>
        </w:rPr>
        <w:t xml:space="preserve">Dataset:</w:t>
      </w:r>
      <w:r>
        <w:t xml:space="preserve"> 9,523 TCGA pathology reports covering 32 cancer types. The label file lists 33 codes, but LAML has no matching reports.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Six Methods Implemented</w:t>
      </w:r>
    </w:p>
    <w:p>
      <w:r>
        <w:t xml:space="preserve">All methods use the same stratified 70/30 split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random_state=42</w:t>
      </w:r>
      <w:r>
        <w:t xml:space="preserve">): 6,666 training reports and 2,857 test reports.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4565"/>
        <w:gridCol w:w="1027"/>
        <w:gridCol w:w="2741"/>
      </w:tblGrid>
      <w:tr>
        <w:trPr>
          <w:tblHeader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4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Approach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2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Evaluated on</w:t>
            </w:r>
          </w:p>
        </w:tc>
      </w:tr>
      <w:tr>
        <w:trPr>
          <w:tblHeader w:val="off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Method 1</w:t>
            </w:r>
          </w:p>
        </w:tc>
        <w:tc>
          <w:tcPr>
            <w:tcW w:type="dxa" w:w="4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TF-IDF + Logistic Regression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96.36%</w:t>
            </w:r>
          </w:p>
        </w:tc>
        <w:tc>
          <w:tcPr>
            <w:tcW w:type="dxa" w:w="2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2,857 test reports</w:t>
            </w:r>
          </w:p>
        </w:tc>
      </w:tr>
      <w:tr>
        <w:trPr>
          <w:tblHeader w:val="off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Method 2</w:t>
            </w:r>
          </w:p>
        </w:tc>
        <w:tc>
          <w:tcPr>
            <w:tcW w:type="dxa" w:w="4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TF-IDF + Linear SVM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97.37%</w:t>
            </w:r>
          </w:p>
        </w:tc>
        <w:tc>
          <w:tcPr>
            <w:tcW w:type="dxa" w:w="2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2,857 test reports</w:t>
            </w:r>
          </w:p>
        </w:tc>
      </w:tr>
      <w:tr>
        <w:trPr>
          <w:tblHeader w:val="off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Method 3</w:t>
            </w:r>
          </w:p>
        </w:tc>
        <w:tc>
          <w:tcPr>
            <w:tcW w:type="dxa" w:w="4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Fine-tuned BERT (Bio_ClinicalBERT)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94.57%</w:t>
            </w:r>
          </w:p>
        </w:tc>
        <w:tc>
          <w:tcPr>
            <w:tcW w:type="dxa" w:w="2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2,857 test reports</w:t>
            </w:r>
          </w:p>
        </w:tc>
      </w:tr>
      <w:tr>
        <w:trPr>
          <w:tblHeader w:val="off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Method 4</w:t>
            </w:r>
          </w:p>
        </w:tc>
        <w:tc>
          <w:tcPr>
            <w:tcW w:type="dxa" w:w="4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Sentence Embeddings (MiniLM) + k-NN, K=5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90.13%</w:t>
            </w:r>
          </w:p>
        </w:tc>
        <w:tc>
          <w:tcPr>
            <w:tcW w:type="dxa" w:w="2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2,857 test reports</w:t>
            </w:r>
          </w:p>
        </w:tc>
      </w:tr>
      <w:tr>
        <w:trPr>
          <w:tblHeader w:val="off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Method 5</w:t>
            </w:r>
          </w:p>
        </w:tc>
        <w:tc>
          <w:tcPr>
            <w:tcW w:type="dxa" w:w="4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RAG + Ollama (llama3.2, local)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64.00%</w:t>
            </w:r>
          </w:p>
        </w:tc>
        <w:tc>
          <w:tcPr>
            <w:tcW w:type="dxa" w:w="2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50-report random sample</w:t>
            </w:r>
          </w:p>
        </w:tc>
      </w:tr>
      <w:tr>
        <w:trPr>
          <w:tblHeader w:val="off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Method 6</w:t>
            </w:r>
          </w:p>
        </w:tc>
        <w:tc>
          <w:tcPr>
            <w:tcW w:type="dxa" w:w="45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RAG + OpenAI GPT-4o-mini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89.00%</w:t>
            </w:r>
          </w:p>
        </w:tc>
        <w:tc>
          <w:tcPr>
            <w:tcW w:type="dxa" w:w="27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300-report random sample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Baseline (Cedars-Sinai):</w:t>
      </w:r>
      <w:r>
        <w:t xml:space="preserve"> BoW + Logistic Regression = 95.31% (published), 95.48% in our re-run. The baseline uses its own 50/20/30 split.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How to Run the Demo</w:t>
      </w:r>
    </w:p>
    <w:p>
      <w:pPr>
        <w:pStyle w:val="Heading2"/>
      </w:pPr>
      <w:r>
        <w:t xml:space="preserve">Requirements</w:t>
      </w:r>
    </w:p>
    <w:p>
      <w:pPr>
        <w:pStyle w:val="ListParagraph"/>
        <w:numPr>
          <w:ilvl w:val="0"/>
          <w:numId w:val="2"/>
        </w:numPr>
      </w:pPr>
      <w:r>
        <w:t xml:space="preserve">Python 3.9 or higher (developed on 3.11)</w:t>
      </w:r>
    </w:p>
    <w:p>
      <w:pPr>
        <w:pStyle w:val="ListParagraph"/>
        <w:numPr>
          <w:ilvl w:val="0"/>
          <w:numId w:val="2"/>
        </w:numPr>
      </w:pPr>
      <w:r>
        <w:t xml:space="preserve">Git</w:t>
      </w:r>
    </w:p>
    <w:p>
      <w:pPr>
        <w:pStyle w:val="Heading2"/>
      </w:pPr>
      <w:r>
        <w:t xml:space="preserve">Step 1 — Clone the submission branch</w:t>
      </w:r>
    </w:p>
    <w:p>
      <w:pPr>
        <w:shd w:fill="F2F4F7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git clone -b submission https://github.com/Kingslee1604/MEDREx-Masters-Project.git</w:t>
      </w:r>
    </w:p>
    <w:p>
      <w:pPr>
        <w:shd w:fill="F2F4F7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MEDREx-Masters-Project</w:t>
      </w:r>
    </w:p>
    <w:p>
      <w:pPr>
        <w:pStyle w:val="Heading2"/>
      </w:pPr>
      <w:r>
        <w:t xml:space="preserve">Step 2 — (Optional) Create a virtual environment</w:t>
      </w:r>
    </w:p>
    <w:p>
      <w:pPr>
        <w:shd w:fill="F2F4F7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python -m venv venv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Windows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venv\Scripts\activate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Mac/Linux</w:t>
      </w:r>
    </w:p>
    <w:p>
      <w:pPr>
        <w:shd w:fill="F2F4F7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source venv/bin/activate</w:t>
      </w:r>
    </w:p>
    <w:p>
      <w:pPr>
        <w:pStyle w:val="Heading2"/>
      </w:pPr>
      <w:r>
        <w:t xml:space="preserve">Step 3 — Install dependencies</w:t>
      </w:r>
    </w:p>
    <w:p>
      <w:pPr>
        <w:shd w:fill="F2F4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pip install -r demo/requirements.txt</w:t>
      </w:r>
    </w:p>
    <w:p>
      <w:pPr>
        <w:pStyle w:val="Heading2"/>
      </w:pPr>
      <w:r>
        <w:t xml:space="preserve">Step 4 — Set the project path</w:t>
      </w:r>
    </w:p>
    <w:p>
      <w:r>
        <w:t xml:space="preserve">Every script,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demo/explainer.py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demo/save_models.py</w:t>
      </w:r>
      <w:r>
        <w:t xml:space="preserve"> sets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BASE_DIR</w:t>
      </w:r>
      <w:r>
        <w:t xml:space="preserve"> near the top to the original author's Windows path. Change it to the folder where you cloned the repo:</w:t>
      </w:r>
    </w:p>
    <w:p>
      <w:pPr>
        <w:shd w:fill="F2F4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BASE_DIR = r"C:\path\to\MEDREx-Masters-Project"</w:t>
      </w:r>
    </w:p>
    <w:p>
      <w:pPr>
        <w:pStyle w:val="Heading2"/>
      </w:pPr>
      <w:r>
        <w:t xml:space="preserve">Step 5 — Set up API key (Method 6 only)</w:t>
      </w:r>
    </w:p>
    <w:p>
      <w:r>
        <w:t xml:space="preserve">Create a file named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.env</w:t>
      </w:r>
      <w:r>
        <w:t xml:space="preserve"> inside the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demo/ProjectCode/</w:t>
      </w:r>
      <w:r>
        <w:t xml:space="preserve"> folder:</w:t>
      </w:r>
    </w:p>
    <w:p>
      <w:pPr>
        <w:shd w:fill="F2F4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OPENAI_API_KEY=your_openai_api_key_here</w:t>
      </w:r>
    </w:p>
    <w:p>
      <w:pPr>
        <w:pBdr>
          <w:left w:val="single" w:color="1F4E79" w:sz="18" w:space="8"/>
        </w:pBdr>
        <w:shd w:fill="EEF3F8" w:color="auto" w:val="clear"/>
        <w:ind w:left="360"/>
      </w:pPr>
      <w:r>
        <w:rPr>
          <w:i/>
          <w:iCs/>
        </w:rPr>
        <w:t xml:space="preserve">If you do not have an OpenAI key, the other five methods still run normally. Only Method 6 needs the key.</w:t>
      </w:r>
    </w:p>
    <w:p>
      <w:pPr>
        <w:pStyle w:val="Heading2"/>
      </w:pPr>
      <w:r>
        <w:t xml:space="preserve">Step 6 — Launch the demo</w:t>
      </w:r>
    </w:p>
    <w:p>
      <w:pPr>
        <w:shd w:fill="F2F4F7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streamlit run demo/explainer.py</w:t>
      </w:r>
    </w:p>
    <w:p>
      <w:r>
        <w:t xml:space="preserve">Open your browser and go to: </w:t>
      </w:r>
      <w:r>
        <w:rPr>
          <w:b/>
          <w:bCs/>
        </w:rPr>
        <w:t xml:space="preserve">http://localhost:8501</w:t>
      </w:r>
    </w:p>
    <w:p>
      <w:r>
        <w:t xml:space="preserve">The Cedars-Sinai, Method 1 and Method 2 tabs use the models already saved in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demo/saved_models/</w:t>
      </w:r>
      <w:r>
        <w:t xml:space="preserve">. To rebuild those models, run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python demo/save_models.py</w:t>
      </w:r>
      <w:r>
        <w:t xml:space="preserve">; this needs the dataset.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Project Structure</w:t>
      </w:r>
    </w:p>
    <w:p>
      <w:pPr>
        <w:shd w:fill="F2F4F7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MEDREx-Masters-Project/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├── README.md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├── PROJECT_DETAILS.md                       # Full technical documentation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├── demo/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├── explainer.py                         # Main Streamlit UI (run this)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├── save_models.py                       # Trains + saves models used by the UI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├── requirements.txt                     # Python dependencies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├── saved_models/                        # Saved BoW / TF-IDF / LR / SVM models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├── CedarCinaiCode/                      # Cedars-Sinai baseline as runnable scripts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├── cedars_sinai_pipeline.py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├── bow_logistic_regression.py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└── bow_random_forest.py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├── ProjectCode/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├── method1_tfidf_logistic_regression.py   # Method 1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├── method2_tfidf_svm.py                   # Method 2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├── method3_evaluate_local.py              # Method 3 (evaluation)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├── method4_embedding_knn.py               # Method 4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├── method5_rag_llm.py                     # Method 5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├── method6_rag_openai.py                  # Method 6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│   └── *.sql                                  # Saved run logs (plain text, not SQL)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└── BertModel_Code/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    ├── method3_bert_finetune_colab.ipynb      # BERT training (Google Colab)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    └── method3_bert_finetune_colab.py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├── notebooks/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├── 01_EDA.ipynb                         # Exploratory Data Analysis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│   └── 02_TF_IDF_Baseline.ipynb             # TF-IDF baseline experiments</w:t>
      </w:r>
    </w:p>
    <w:p>
      <w:pPr>
        <w:shd w:fill="F2F4F7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├── reference_code/                          # Original Cedars-Sinai / Tatonetti Lab code</w:t>
      </w:r>
    </w:p>
    <w:p>
      <w:pPr>
        <w:shd w:fill="F2F4F7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└── DataSet/                                 # TCGA data (not in repo — see below)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Dataset Note</w:t>
      </w:r>
    </w:p>
    <w:p>
      <w:r>
        <w:t xml:space="preserve">The TCGA dataset is not included in the repository because of its size (~34 MB) and data-use terms. Place the files here:</w:t>
      </w:r>
    </w:p>
    <w:p>
      <w:pPr>
        <w:shd w:fill="F2F4F7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DataSet/TCGA_Reports.csv/TCGA_Reports.csv</w:t>
      </w:r>
    </w:p>
    <w:p>
      <w:pPr>
        <w:shd w:fill="F2F4F7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DataSet/tcga_patient_to_cancer_type.csv</w:t>
      </w:r>
    </w:p>
    <w:p>
      <w:r>
        <w:t xml:space="preserve">The demo's sample reports and the Method 4 tab come from the embedding cache in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demo/ProjectCode/output/</w:t>
      </w:r>
      <w:r>
        <w:t xml:space="preserve">. That folder is not in git; running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python demo/ProjectCode/method4_embedding_knn.py</w:t>
      </w:r>
      <w:r>
        <w:t xml:space="preserve"> once (with the dataset in place) creates it.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Notes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Run order:</w:t>
      </w:r>
      <w:r>
        <w:t xml:space="preserve"> run Method 4 before Methods 5 and 6, because they reuse its embedding cache.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Method 3 (BERT):</w:t>
      </w:r>
      <w:r>
        <w:t xml:space="preserve"> the model weights (~414 MB) are not included. Train with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demo/BertModel_Code/method3_bert_finetune_colab.ipynb</w:t>
      </w:r>
      <w:r>
        <w:t xml:space="preserve"> on a Google Colab GPU, then download the model folder to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demo/ProjectCode/method3_best_model/</w:t>
      </w:r>
      <w:r>
        <w:t xml:space="preserve">. Running this method also needs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torch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transformers</w:t>
      </w:r>
      <w:r>
        <w:t xml:space="preserve">; installing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sentence-transformers</w:t>
      </w:r>
      <w:r>
        <w:t xml:space="preserve"> brings both.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Method 5 (Ollama):</w:t>
      </w:r>
      <w:r>
        <w:t xml:space="preserve"> needs Ollama installed and running locally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ollama serve</w:t>
      </w:r>
      <w:r>
        <w:t xml:space="preserve">) with the model pulled (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ollama pull llama3.2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Method 6 (OpenAI):</w:t>
      </w:r>
      <w:r>
        <w:t xml:space="preserve"> needs a valid OpenAI API key in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demo/ProjectCode/.env</w:t>
      </w:r>
      <w:r>
        <w:t xml:space="preserve">. To use Anthropic or Ollama instead, change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LLM_PROVIDER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  <w:shd w:fill="F2F4F7" w:color="auto" w:val="clear"/>
        </w:rPr>
        <w:t xml:space="preserve">LLM_MODEL</w:t>
      </w:r>
      <w:r>
        <w:t xml:space="preserve"> at the top of the script.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Methods 1, 2 and 4</w:t>
      </w:r>
      <w:r>
        <w:t xml:space="preserve"> run fully offline on a CPU. After the first download of the MiniLM model, Method 4 also needs no internet.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next w:val="Normal"/>
    <w:pPr>
      <w:spacing w:after="200"/>
    </w:pPr>
    <w:rPr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2E2E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ica0pmdmv4lwgcvht6ej" Type="http://schemas.openxmlformats.org/officeDocument/2006/relationships/hyperlink" Target="https://github.com/Kingslee1604/MEDREx-Masters-Project/blob/submission/PROJECT_DETAILS.m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MEDREx — README</dc:title>
  <dc:creator>Kingslee Dominic Savio Velu</dc:creator>
  <cp:lastModifiedBy>Un-named</cp:lastModifiedBy>
  <cp:revision>1</cp:revision>
  <dcterms:created xsi:type="dcterms:W3CDTF">2026-10-27T23:34:08.425Z</dcterms:created>
  <dcterms:modified xsi:type="dcterms:W3CDTF">2026-10-27T23:34:08.426Z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