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24000" cy="1170783"/>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11"/>
                    <a:stretch>
                      <a:fillRect/>
                    </a:stretch>
                  </pic:blipFill>
                  <pic:spPr>
                    <a:xfrm>
                      <a:off x="0" y="0"/>
                      <a:ext cx="1224000" cy="1170783"/>
                    </a:xfrm>
                    <a:prstGeom prst="rect"/>
                  </pic:spPr>
                </pic:pic>
              </a:graphicData>
            </a:graphic>
          </wp:inline>
        </w:drawing>
      </w:r>
    </w:p>
    <w:p>
      <w:pPr>
        <w:jc w:val="center"/>
      </w:pPr>
      <w:r>
        <w:rPr>
          <w:rFonts w:ascii="Aptos" w:hAnsi="Aptos"/>
          <w:smallCaps/>
          <w:color w:val="5A5A5A"/>
          <w:sz w:val="20"/>
        </w:rPr>
        <w:t>Executive Document 01</w:t>
      </w:r>
    </w:p>
    <w:p>
      <w:pPr>
        <w:pStyle w:val="DocTitle"/>
        <w:jc w:val="center"/>
      </w:pPr>
      <w:r>
        <w:t>Cover and Document Control Note</w:t>
      </w:r>
    </w:p>
    <w:p>
      <w:pPr>
        <w:jc w:val="center"/>
      </w:pPr>
      <w:r>
        <w:rPr>
          <w:rFonts w:ascii="Aptos" w:hAnsi="Aptos"/>
          <w:i/>
          <w:color w:val="5A5A5A"/>
          <w:sz w:val="22"/>
        </w:rPr>
        <w:t>Front-matter document for the CRS-PDVS Executive Brief Series</w:t>
      </w:r>
    </w:p>
    <w:tbl>
      <w:tblPr>
        <w:tblW w:type="auto" w:w="0"/>
        <w:jc w:val="center"/>
        <w:tblLayout w:type="fixed"/>
        <w:tblLook w:firstColumn="1" w:firstRow="1" w:lastColumn="0" w:lastRow="0" w:noHBand="0" w:noVBand="1" w:val="04A0"/>
      </w:tblPr>
      <w:tblGrid>
        <w:gridCol w:w="4847"/>
        <w:gridCol w:w="4847"/>
      </w:tblGrid>
      <w:tr>
        <w:tc>
          <w:tcPr>
            <w:tcW w:type="dxa" w:w="2268"/>
            <w:tcMar>
              <w:top w:w="90" w:type="dxa"/>
              <w:start w:w="120" w:type="dxa"/>
              <w:bottom w:w="90" w:type="dxa"/>
              <w:end w:w="120" w:type="dxa"/>
            </w:tcMar>
            <w:vAlign w:val="center"/>
            <w:shd w:fill="EAF0FB"/>
          </w:tcPr>
          <w:p>
            <w:r>
              <w:rPr>
                <w:b/>
              </w:rPr>
              <w:t>Series</w:t>
            </w:r>
          </w:p>
        </w:tc>
        <w:tc>
          <w:tcPr>
            <w:tcW w:type="dxa" w:w="5669"/>
            <w:tcMar>
              <w:top w:w="90" w:type="dxa"/>
              <w:start w:w="120" w:type="dxa"/>
              <w:bottom w:w="90" w:type="dxa"/>
              <w:end w:w="120" w:type="dxa"/>
            </w:tcMar>
            <w:vAlign w:val="center"/>
          </w:tcPr>
          <w:p>
            <w:r>
              <w:t>CRS-PDVS Executive Brief Set</w:t>
            </w:r>
          </w:p>
        </w:tc>
      </w:tr>
      <w:tr>
        <w:tc>
          <w:tcPr>
            <w:tcW w:type="dxa" w:w="2268"/>
            <w:tcMar>
              <w:top w:w="90" w:type="dxa"/>
              <w:start w:w="120" w:type="dxa"/>
              <w:bottom w:w="90" w:type="dxa"/>
              <w:end w:w="120" w:type="dxa"/>
            </w:tcMar>
            <w:vAlign w:val="center"/>
            <w:shd w:fill="EAF0FB"/>
          </w:tcPr>
          <w:p>
            <w:r>
              <w:rPr>
                <w:b/>
              </w:rPr>
              <w:t>Status</w:t>
            </w:r>
          </w:p>
        </w:tc>
        <w:tc>
          <w:tcPr>
            <w:tcW w:type="dxa" w:w="5669"/>
            <w:tcMar>
              <w:top w:w="90" w:type="dxa"/>
              <w:start w:w="120" w:type="dxa"/>
              <w:bottom w:w="90" w:type="dxa"/>
              <w:end w:w="120" w:type="dxa"/>
            </w:tcMar>
            <w:vAlign w:val="center"/>
          </w:tcPr>
          <w:p>
            <w:r>
              <w:t>Confidential Working Draft</w:t>
            </w:r>
          </w:p>
        </w:tc>
      </w:tr>
      <w:tr>
        <w:tc>
          <w:tcPr>
            <w:tcW w:type="dxa" w:w="2268"/>
            <w:tcMar>
              <w:top w:w="90" w:type="dxa"/>
              <w:start w:w="120" w:type="dxa"/>
              <w:bottom w:w="90" w:type="dxa"/>
              <w:end w:w="120" w:type="dxa"/>
            </w:tcMar>
            <w:vAlign w:val="center"/>
            <w:shd w:fill="EAF0FB"/>
          </w:tcPr>
          <w:p>
            <w:r>
              <w:rPr>
                <w:b/>
              </w:rPr>
              <w:t>Prepared for</w:t>
            </w:r>
          </w:p>
        </w:tc>
        <w:tc>
          <w:tcPr>
            <w:tcW w:type="dxa" w:w="5669"/>
            <w:tcMar>
              <w:top w:w="90" w:type="dxa"/>
              <w:start w:w="120" w:type="dxa"/>
              <w:bottom w:w="90" w:type="dxa"/>
              <w:end w:w="120" w:type="dxa"/>
            </w:tcMar>
            <w:vAlign w:val="center"/>
          </w:tcPr>
          <w:p>
            <w:r>
              <w:t>Institutional Review and Stakeholder Engagement</w:t>
            </w:r>
          </w:p>
        </w:tc>
      </w:tr>
    </w:tbl>
    <w:p/>
    <w:p>
      <w:r>
        <w:br w:type="page"/>
      </w:r>
    </w:p>
    <w:p>
      <w:pPr>
        <w:jc w:val="left"/>
      </w:pPr>
      <w:r>
        <w:rPr>
          <w:rFonts w:ascii="Aptos" w:hAnsi="Aptos"/>
          <w:b/>
          <w:color w:val="09217A"/>
          <w:sz w:val="18"/>
        </w:rPr>
        <w:t>CRS-PDVS Executive Brief Series</w:t>
      </w:r>
    </w:p>
    <w:p>
      <w:pPr>
        <w:pStyle w:val="Heading1Exec"/>
      </w:pPr>
      <w:r>
        <w:t>Document Role</w:t>
      </w:r>
    </w:p>
    <w:p>
      <w:pPr>
        <w:pStyle w:val="Body"/>
        <w:jc w:val="both"/>
      </w:pPr>
      <w:r>
        <w:t>This document serves as the controlled cover and document-control note for the ten-part CRS-PDVS executive brief series. It establishes the purpose, audience, use conditions, and handling discipline for the executive set before substantive review begins.</w:t>
      </w:r>
    </w:p>
    <w:p>
      <w:pPr>
        <w:pStyle w:val="Body"/>
        <w:jc w:val="both"/>
      </w:pPr>
      <w:r>
        <w:t>The series is intended for senior public-service readers in Cross River State who require concise and orderly material on pensioner verification modernization. It is designed to be read sequentially, with each document adding one layer of decision support to the last.</w:t>
      </w:r>
    </w:p>
    <w:p>
      <w:pPr>
        <w:pStyle w:val="Heading1Exec"/>
      </w:pPr>
      <w:r>
        <w:t>Audience and Reading Order</w:t>
      </w:r>
    </w:p>
    <w:p>
      <w:pPr>
        <w:pStyle w:val="Body"/>
        <w:jc w:val="both"/>
      </w:pPr>
      <w:r>
        <w:t>Primary readers include the Cross River State Pension Board, relevant Permanent Secretaries, the Ministry of Finance, the Office of the Head of Service, and state digital-governance stakeholders.</w:t>
      </w:r>
    </w:p>
    <w:p>
      <w:pPr>
        <w:pStyle w:val="Body"/>
        <w:jc w:val="both"/>
      </w:pPr>
      <w:r>
        <w:t>The recommended reading order is fixed: Executive Summary; Background and Current Challenge; Strategic Opportunity; Proposed Solution Overview; Core System Components; Benefits and Public Value; Data Protection, Security and Governance; Phased Implementation Roadmap; and Collaboration Path and Closing Note.</w:t>
      </w:r>
    </w:p>
    <w:p>
      <w:pPr>
        <w:pStyle w:val="Heading1Exec"/>
      </w:pPr>
      <w:r>
        <w:t>Use Conditions</w:t>
      </w:r>
    </w:p>
    <w:p>
      <w:pPr>
        <w:pStyle w:val="Body"/>
        <w:jc w:val="both"/>
      </w:pPr>
      <w:r>
        <w:t>This set is prepared as a confidential working draft for institutional consideration. It is not a public campaign document, not a software brochure, and not a substitute for the stakeholder discovery, compliance validation, and pilot scoping that must still occur before implementation.</w:t>
      </w:r>
    </w:p>
    <w:p>
      <w:pPr>
        <w:pStyle w:val="Body"/>
        <w:jc w:val="both"/>
      </w:pPr>
      <w:r>
        <w:t>The material is written to reflect current Cross River State administrative realities, including the spread of pension-related demand across eighteen local government areas, wide travel-distance variation from Calabar, and the continuing operational role of manual or event-based verification in pension administration.</w:t>
      </w:r>
    </w:p>
    <w:p>
      <w:pPr>
        <w:pStyle w:val="Heading2Exec"/>
      </w:pPr>
      <w:r>
        <w:t>Reference Basis</w:t>
      </w:r>
    </w:p>
    <w:p>
      <w:pPr>
        <w:pStyle w:val="ListBullet"/>
        <w:spacing w:after="40"/>
      </w:pPr>
      <w:r>
        <w:t>CRS-PDVS Executive Brief Master Plan uploaded by user.</w:t>
      </w:r>
    </w:p>
    <w:p>
      <w:pPr>
        <w:pStyle w:val="ListBullet"/>
        <w:spacing w:after="40"/>
      </w:pPr>
      <w:r>
        <w:t>Cross River State Bureau of Statistics, Facts and Figures of Cross River State, 2024 edition.</w:t>
      </w:r>
    </w:p>
    <w:p>
      <w:pPr>
        <w:pStyle w:val="ListBullet"/>
        <w:spacing w:after="40"/>
      </w:pPr>
      <w:r>
        <w:t>Cross River State 2026 Approved Budget.</w:t>
      </w:r>
    </w:p>
    <w:sectPr w:rsidR="00FC693F" w:rsidRPr="0006063C" w:rsidSect="00034616">
      <w:headerReference w:type="default" r:id="rId9"/>
      <w:footerReference w:type="default" r:id="rId10"/>
      <w:pgSz w:w="11906" w:h="16838"/>
      <w:pgMar w:top="1134" w:right="1020" w:bottom="96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Confidential Working Draft</w:t>
    </w:r>
    <w:r>
      <w:t xml:space="preserv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432000" cy="413217"/>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1"/>
                  <a:stretch>
                    <a:fillRect/>
                  </a:stretch>
                </pic:blipFill>
                <pic:spPr>
                  <a:xfrm>
                    <a:off x="0" y="0"/>
                    <a:ext cx="432000" cy="413217"/>
                  </a:xfrm>
                  <a:prstGeom prst="rect"/>
                </pic:spPr>
              </pic:pic>
            </a:graphicData>
          </a:graphic>
        </wp:inline>
      </w:drawing>
    </w:r>
    <w:r>
      <w:rPr>
        <w:rFonts w:ascii="Aptos" w:hAnsi="Aptos"/>
        <w:b/>
        <w:color w:val="5A5A5A"/>
        <w:sz w:val="17"/>
      </w:rPr>
      <w:t xml:space="preserve">  CRS-PDVS Executive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after="120" w:line="276" w:lineRule="auto"/>
    </w:pPr>
    <w:rPr>
      <w:rFonts w:ascii="Aptos" w:hAnsi="Aptos"/>
      <w:color w:val="282828"/>
      <w:sz w:val="22"/>
    </w:rPr>
  </w:style>
  <w:style w:type="paragraph" w:customStyle="1" w:styleId="DocTitle">
    <w:name w:val="Doc Title"/>
    <w:pPr>
      <w:spacing w:after="120"/>
    </w:pPr>
    <w:rPr>
      <w:rFonts w:ascii="Aptos" w:hAnsi="Aptos"/>
      <w:b/>
      <w:color w:val="09217A"/>
      <w:sz w:val="40"/>
    </w:rPr>
  </w:style>
  <w:style w:type="paragraph" w:customStyle="1" w:styleId="Heading1Exec">
    <w:name w:val="Heading 1 Exec"/>
    <w:pPr>
      <w:spacing w:after="120" w:before="200"/>
    </w:pPr>
    <w:rPr>
      <w:rFonts w:ascii="Aptos" w:hAnsi="Aptos"/>
      <w:b/>
      <w:color w:val="09217A"/>
      <w:sz w:val="28"/>
    </w:rPr>
  </w:style>
  <w:style w:type="paragraph" w:customStyle="1" w:styleId="Heading2Exec">
    <w:name w:val="Heading 2 Exec"/>
    <w:pPr>
      <w:spacing w:after="120" w:before="120"/>
    </w:pPr>
    <w:rPr>
      <w:rFonts w:ascii="Aptos" w:hAnsi="Aptos"/>
      <w:b/>
      <w:color w:val="282828"/>
      <w:sz w:val="23"/>
    </w:rPr>
  </w:style>
  <w:style w:type="paragraph" w:customStyle="1" w:styleId="SmallCaps">
    <w:name w:val="Small Caps"/>
    <w:pPr>
      <w:spacing w:after="120"/>
    </w:pPr>
    <w:rPr>
      <w:rFonts w:ascii="Aptos" w:hAnsi="Aptos"/>
      <w:b w:val="0"/>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