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24000" cy="1170783"/>
            <wp:docPr id="1" name="Picture 1"/>
            <wp:cNvGraphicFramePr>
              <a:graphicFrameLocks noChangeAspect="1"/>
            </wp:cNvGraphicFramePr>
            <a:graphic>
              <a:graphicData uri="http://schemas.openxmlformats.org/drawingml/2006/picture">
                <pic:pic>
                  <pic:nvPicPr>
                    <pic:cNvPr id="0" name="crs_logo_white-087ea47b.png"/>
                    <pic:cNvPicPr/>
                  </pic:nvPicPr>
                  <pic:blipFill>
                    <a:blip r:embed="rId11"/>
                    <a:stretch>
                      <a:fillRect/>
                    </a:stretch>
                  </pic:blipFill>
                  <pic:spPr>
                    <a:xfrm>
                      <a:off x="0" y="0"/>
                      <a:ext cx="1224000" cy="1170783"/>
                    </a:xfrm>
                    <a:prstGeom prst="rect"/>
                  </pic:spPr>
                </pic:pic>
              </a:graphicData>
            </a:graphic>
          </wp:inline>
        </w:drawing>
      </w:r>
    </w:p>
    <w:p>
      <w:pPr>
        <w:jc w:val="center"/>
      </w:pPr>
      <w:r>
        <w:rPr>
          <w:rFonts w:ascii="Aptos" w:hAnsi="Aptos"/>
          <w:smallCaps/>
          <w:color w:val="5A5A5A"/>
          <w:sz w:val="20"/>
        </w:rPr>
        <w:t>Executive Document 02</w:t>
      </w:r>
    </w:p>
    <w:p>
      <w:pPr>
        <w:pStyle w:val="DocTitle"/>
        <w:jc w:val="center"/>
      </w:pPr>
      <w:r>
        <w:t>Executive Summary</w:t>
      </w:r>
    </w:p>
    <w:p>
      <w:pPr>
        <w:jc w:val="center"/>
      </w:pPr>
      <w:r>
        <w:rPr>
          <w:rFonts w:ascii="Aptos" w:hAnsi="Aptos"/>
          <w:i/>
          <w:color w:val="5A5A5A"/>
          <w:sz w:val="22"/>
        </w:rPr>
        <w:t>Concise case for the Cross River State Pensioners Digital Verification System</w:t>
      </w:r>
    </w:p>
    <w:tbl>
      <w:tblPr>
        <w:tblW w:type="auto" w:w="0"/>
        <w:jc w:val="center"/>
        <w:tblLayout w:type="fixed"/>
        <w:tblLook w:firstColumn="1" w:firstRow="1" w:lastColumn="0" w:lastRow="0" w:noHBand="0" w:noVBand="1" w:val="04A0"/>
      </w:tblPr>
      <w:tblGrid>
        <w:gridCol w:w="4847"/>
        <w:gridCol w:w="4847"/>
      </w:tblGrid>
      <w:tr>
        <w:tc>
          <w:tcPr>
            <w:tcW w:type="dxa" w:w="2268"/>
            <w:tcMar>
              <w:top w:w="90" w:type="dxa"/>
              <w:start w:w="120" w:type="dxa"/>
              <w:bottom w:w="90" w:type="dxa"/>
              <w:end w:w="120" w:type="dxa"/>
            </w:tcMar>
            <w:vAlign w:val="center"/>
            <w:shd w:fill="EAF0FB"/>
          </w:tcPr>
          <w:p>
            <w:r>
              <w:rPr>
                <w:b/>
              </w:rPr>
              <w:t>Series</w:t>
            </w:r>
          </w:p>
        </w:tc>
        <w:tc>
          <w:tcPr>
            <w:tcW w:type="dxa" w:w="5669"/>
            <w:tcMar>
              <w:top w:w="90" w:type="dxa"/>
              <w:start w:w="120" w:type="dxa"/>
              <w:bottom w:w="90" w:type="dxa"/>
              <w:end w:w="120" w:type="dxa"/>
            </w:tcMar>
            <w:vAlign w:val="center"/>
          </w:tcPr>
          <w:p>
            <w:r>
              <w:t>CRS-PDVS Executive Brief Set</w:t>
            </w:r>
          </w:p>
        </w:tc>
      </w:tr>
      <w:tr>
        <w:tc>
          <w:tcPr>
            <w:tcW w:type="dxa" w:w="2268"/>
            <w:tcMar>
              <w:top w:w="90" w:type="dxa"/>
              <w:start w:w="120" w:type="dxa"/>
              <w:bottom w:w="90" w:type="dxa"/>
              <w:end w:w="120" w:type="dxa"/>
            </w:tcMar>
            <w:vAlign w:val="center"/>
            <w:shd w:fill="EAF0FB"/>
          </w:tcPr>
          <w:p>
            <w:r>
              <w:rPr>
                <w:b/>
              </w:rPr>
              <w:t>Status</w:t>
            </w:r>
          </w:p>
        </w:tc>
        <w:tc>
          <w:tcPr>
            <w:tcW w:type="dxa" w:w="5669"/>
            <w:tcMar>
              <w:top w:w="90" w:type="dxa"/>
              <w:start w:w="120" w:type="dxa"/>
              <w:bottom w:w="90" w:type="dxa"/>
              <w:end w:w="120" w:type="dxa"/>
            </w:tcMar>
            <w:vAlign w:val="center"/>
          </w:tcPr>
          <w:p>
            <w:r>
              <w:t>Confidential Working Draft</w:t>
            </w:r>
          </w:p>
        </w:tc>
      </w:tr>
      <w:tr>
        <w:tc>
          <w:tcPr>
            <w:tcW w:type="dxa" w:w="2268"/>
            <w:tcMar>
              <w:top w:w="90" w:type="dxa"/>
              <w:start w:w="120" w:type="dxa"/>
              <w:bottom w:w="90" w:type="dxa"/>
              <w:end w:w="120" w:type="dxa"/>
            </w:tcMar>
            <w:vAlign w:val="center"/>
            <w:shd w:fill="EAF0FB"/>
          </w:tcPr>
          <w:p>
            <w:r>
              <w:rPr>
                <w:b/>
              </w:rPr>
              <w:t>Prepared for</w:t>
            </w:r>
          </w:p>
        </w:tc>
        <w:tc>
          <w:tcPr>
            <w:tcW w:type="dxa" w:w="5669"/>
            <w:tcMar>
              <w:top w:w="90" w:type="dxa"/>
              <w:start w:w="120" w:type="dxa"/>
              <w:bottom w:w="90" w:type="dxa"/>
              <w:end w:w="120" w:type="dxa"/>
            </w:tcMar>
            <w:vAlign w:val="center"/>
          </w:tcPr>
          <w:p>
            <w:r>
              <w:t>Institutional Review and Stakeholder Engagement</w:t>
            </w:r>
          </w:p>
        </w:tc>
      </w:tr>
    </w:tbl>
    <w:p/>
    <w:p>
      <w:r>
        <w:br w:type="page"/>
      </w:r>
    </w:p>
    <w:p>
      <w:pPr>
        <w:jc w:val="left"/>
      </w:pPr>
      <w:r>
        <w:rPr>
          <w:rFonts w:ascii="Aptos" w:hAnsi="Aptos"/>
          <w:b/>
          <w:color w:val="09217A"/>
          <w:sz w:val="18"/>
        </w:rPr>
        <w:t>CRS-PDVS Executive Brief Series</w:t>
      </w:r>
    </w:p>
    <w:p>
      <w:pPr>
        <w:pStyle w:val="Heading1Exec"/>
      </w:pPr>
      <w:r>
        <w:t>Summary Position</w:t>
      </w:r>
    </w:p>
    <w:p>
      <w:pPr>
        <w:pStyle w:val="Body"/>
        <w:jc w:val="both"/>
      </w:pPr>
      <w:r>
        <w:t>Cross River State has a clear service-delivery opportunity in pensioner verification. Verification is a legitimate administrative requirement, but where it depends heavily on periodic physical attendance it can impose avoidable strain on elderly citizens and operational pressure on government officers.</w:t>
      </w:r>
    </w:p>
    <w:p>
      <w:pPr>
        <w:pStyle w:val="Body"/>
        <w:jc w:val="both"/>
      </w:pPr>
      <w:r>
        <w:t>CRS-PDVS is proposed as a controlled digital verification layer that allows pensioners to complete proof-of-life and identity-confirmation steps more safely and more conveniently, while enabling the Pension Board to monitor status, exceptions, and audit trails through a secure administrative portal.</w:t>
      </w:r>
    </w:p>
    <w:p>
      <w:pPr>
        <w:pStyle w:val="Heading2Exec"/>
      </w:pPr>
      <w:r>
        <w:t>Cross River State Operating Context</w:t>
      </w:r>
    </w:p>
    <w:tbl>
      <w:tblPr>
        <w:tblW w:type="auto" w:w="0"/>
        <w:jc w:val="center"/>
        <w:tblLayout w:type="fixed"/>
        <w:tblLook w:firstColumn="1" w:firstRow="1" w:lastColumn="0" w:lastRow="0" w:noHBand="0" w:noVBand="1" w:val="04A0"/>
      </w:tblPr>
      <w:tblGrid>
        <w:gridCol w:w="2948"/>
        <w:gridCol w:w="6236"/>
      </w:tblGrid>
      <w:tr>
        <w:tc>
          <w:tcPr>
            <w:tcW w:type="dxa" w:w="4847"/>
            <w:shd w:fill="DCE6F8"/>
            <w:tcMar>
              <w:top w:w="80" w:type="dxa"/>
              <w:start w:w="100" w:type="dxa"/>
              <w:bottom w:w="80" w:type="dxa"/>
              <w:end w:w="100" w:type="dxa"/>
            </w:tcMar>
            <w:vAlign w:val="center"/>
          </w:tcPr>
          <w:p>
            <w:r>
              <w:rPr>
                <w:b/>
                <w:color w:val="09217A"/>
              </w:rPr>
              <w:t>Context</w:t>
            </w:r>
          </w:p>
        </w:tc>
        <w:tc>
          <w:tcPr>
            <w:tcW w:type="dxa" w:w="4847"/>
            <w:shd w:fill="DCE6F8"/>
            <w:tcMar>
              <w:top w:w="80" w:type="dxa"/>
              <w:start w:w="100" w:type="dxa"/>
              <w:bottom w:w="80" w:type="dxa"/>
              <w:end w:w="100" w:type="dxa"/>
            </w:tcMar>
            <w:vAlign w:val="center"/>
          </w:tcPr>
          <w:p>
            <w:r>
              <w:rPr>
                <w:b/>
                <w:color w:val="09217A"/>
              </w:rPr>
              <w:t>Current Reference Point</w:t>
            </w:r>
          </w:p>
        </w:tc>
      </w:tr>
      <w:tr>
        <w:tc>
          <w:tcPr>
            <w:tcW w:type="dxa" w:w="2948"/>
            <w:tcMar>
              <w:top w:w="80" w:type="dxa"/>
              <w:start w:w="100" w:type="dxa"/>
              <w:bottom w:w="80" w:type="dxa"/>
              <w:end w:w="100" w:type="dxa"/>
            </w:tcMar>
            <w:vAlign w:val="center"/>
          </w:tcPr>
          <w:p>
            <w:r>
              <w:t>State structure</w:t>
            </w:r>
          </w:p>
        </w:tc>
        <w:tc>
          <w:tcPr>
            <w:tcW w:type="dxa" w:w="6236"/>
            <w:tcMar>
              <w:top w:w="80" w:type="dxa"/>
              <w:start w:w="100" w:type="dxa"/>
              <w:bottom w:w="80" w:type="dxa"/>
              <w:end w:w="100" w:type="dxa"/>
            </w:tcMar>
            <w:vAlign w:val="center"/>
          </w:tcPr>
          <w:p>
            <w:r>
              <w:t>18 Local Government Areas spread across the southern coast, central belt and northern highlands.</w:t>
            </w:r>
          </w:p>
        </w:tc>
      </w:tr>
      <w:tr>
        <w:tc>
          <w:tcPr>
            <w:tcW w:type="dxa" w:w="2948"/>
            <w:tcMar>
              <w:top w:w="80" w:type="dxa"/>
              <w:start w:w="100" w:type="dxa"/>
              <w:bottom w:w="80" w:type="dxa"/>
              <w:end w:w="100" w:type="dxa"/>
            </w:tcMar>
            <w:vAlign w:val="center"/>
          </w:tcPr>
          <w:p>
            <w:r>
              <w:t>Population</w:t>
            </w:r>
          </w:p>
        </w:tc>
        <w:tc>
          <w:tcPr>
            <w:tcW w:type="dxa" w:w="6236"/>
            <w:tcMar>
              <w:top w:w="80" w:type="dxa"/>
              <w:start w:w="100" w:type="dxa"/>
              <w:bottom w:w="80" w:type="dxa"/>
              <w:end w:w="100" w:type="dxa"/>
            </w:tcMar>
            <w:vAlign w:val="center"/>
          </w:tcPr>
          <w:p>
            <w:r>
              <w:t>Projected 2024 population of about 5.1 million, with administrative demand concentrated across both urban and rural communities.</w:t>
            </w:r>
          </w:p>
        </w:tc>
      </w:tr>
      <w:tr>
        <w:tc>
          <w:tcPr>
            <w:tcW w:type="dxa" w:w="2948"/>
            <w:tcMar>
              <w:top w:w="80" w:type="dxa"/>
              <w:start w:w="100" w:type="dxa"/>
              <w:bottom w:w="80" w:type="dxa"/>
              <w:end w:w="100" w:type="dxa"/>
            </w:tcMar>
            <w:vAlign w:val="center"/>
          </w:tcPr>
          <w:p>
            <w:r>
              <w:t>Access reality</w:t>
            </w:r>
          </w:p>
        </w:tc>
        <w:tc>
          <w:tcPr>
            <w:tcW w:type="dxa" w:w="6236"/>
            <w:tcMar>
              <w:top w:w="80" w:type="dxa"/>
              <w:start w:w="100" w:type="dxa"/>
              <w:bottom w:w="80" w:type="dxa"/>
              <w:end w:w="100" w:type="dxa"/>
            </w:tcMar>
            <w:vAlign w:val="center"/>
          </w:tcPr>
          <w:p>
            <w:r>
              <w:t>Distances from Calabar vary widely - from 5 km to Calabar South to about 380 km to Obanliku - which affects ease of travel for elderly pensioners.</w:t>
            </w:r>
          </w:p>
        </w:tc>
      </w:tr>
      <w:tr>
        <w:tc>
          <w:tcPr>
            <w:tcW w:type="dxa" w:w="2948"/>
            <w:tcMar>
              <w:top w:w="80" w:type="dxa"/>
              <w:start w:w="100" w:type="dxa"/>
              <w:bottom w:w="80" w:type="dxa"/>
              <w:end w:w="100" w:type="dxa"/>
            </w:tcMar>
            <w:vAlign w:val="center"/>
          </w:tcPr>
          <w:p>
            <w:r>
              <w:t>Administrative signal</w:t>
            </w:r>
          </w:p>
        </w:tc>
        <w:tc>
          <w:tcPr>
            <w:tcW w:type="dxa" w:w="6236"/>
            <w:tcMar>
              <w:top w:w="80" w:type="dxa"/>
              <w:start w:w="100" w:type="dxa"/>
              <w:bottom w:w="80" w:type="dxa"/>
              <w:end w:w="100" w:type="dxa"/>
            </w:tcMar>
            <w:vAlign w:val="center"/>
          </w:tcPr>
          <w:p>
            <w:r>
              <w:t>The 2026 approved budget includes a line item for verification of local government pensioners, indicating that verification remains a live administrative function.</w:t>
            </w:r>
          </w:p>
        </w:tc>
      </w:tr>
    </w:tbl>
    <w:p>
      <w:pPr>
        <w:pStyle w:val="Heading1Exec"/>
      </w:pPr>
      <w:r>
        <w:t>Why the Matter is Immediate</w:t>
      </w:r>
    </w:p>
    <w:p>
      <w:pPr>
        <w:pStyle w:val="Body"/>
        <w:jc w:val="both"/>
      </w:pPr>
      <w:r>
        <w:t>The case is not abstract. Cross River State continues to operate within a statewide pension and gratuity environment that already requires verification activity, and the state's 2026 approved budget specifically references verification of local government pensioners.</w:t>
      </w:r>
    </w:p>
    <w:p>
      <w:pPr>
        <w:pStyle w:val="Body"/>
        <w:jc w:val="both"/>
      </w:pPr>
      <w:r>
        <w:t>The state's geography makes this more than a process issue. Cross River spans coastal communities, central agrarian corridors, and northern highland areas. Distances from Calabar range from very short urban access in Calabar South to approximately 380 kilometres for Obanliku, making a one-format verification model inherently burdensome for some citizens.</w:t>
      </w:r>
    </w:p>
    <w:p>
      <w:pPr>
        <w:pStyle w:val="Heading1Exec"/>
      </w:pPr>
      <w:r>
        <w:t>What the State Gains</w:t>
      </w:r>
    </w:p>
    <w:p>
      <w:pPr>
        <w:pStyle w:val="Body"/>
        <w:jc w:val="both"/>
      </w:pPr>
      <w:r>
        <w:t>The proposed system gives the State three advantages at once: a more humane verification experience for pensioners, better record visibility for administrators, and stronger control over verification evidence and exception handling.</w:t>
      </w:r>
    </w:p>
    <w:p>
      <w:pPr>
        <w:pStyle w:val="Body"/>
        <w:jc w:val="both"/>
      </w:pPr>
      <w:r>
        <w:t>The proposal does not assume immediate full automation of pension administration. It begins instead with a focused and realistic objective: to improve verification workflow quality, data visibility, and service dignity through a phased state-owned platform.</w:t>
      </w:r>
    </w:p>
    <w:p>
      <w:pPr>
        <w:pStyle w:val="Heading1Exec"/>
      </w:pPr>
      <w:r>
        <w:t>Immediate Recommendation</w:t>
      </w:r>
    </w:p>
    <w:p>
      <w:pPr>
        <w:pStyle w:val="Body"/>
        <w:jc w:val="both"/>
      </w:pPr>
      <w:r>
        <w:t>The recommended course is to approve CRS-PDVS for structured stakeholder discovery, prototype development, and pilot preparation. A phased pilot, supported by assisted-verification channels, is the most prudent path for testing utility, usability, and administrative fit before wider deployment.</w:t>
      </w:r>
    </w:p>
    <w:p>
      <w:pPr>
        <w:pStyle w:val="Heading2Exec"/>
      </w:pPr>
      <w:r>
        <w:t>Reference Basis</w:t>
      </w:r>
    </w:p>
    <w:p>
      <w:pPr>
        <w:pStyle w:val="ListBullet"/>
        <w:spacing w:after="40"/>
      </w:pPr>
      <w:r>
        <w:t>Cross River State Bureau of Statistics, Facts and Figures of Cross River State, 2024 edition.</w:t>
      </w:r>
    </w:p>
    <w:p>
      <w:pPr>
        <w:pStyle w:val="ListBullet"/>
        <w:spacing w:after="40"/>
      </w:pPr>
      <w:r>
        <w:t>Cross River State 2026 Approved Budget, line item on verification of local government pensioners.</w:t>
      </w:r>
    </w:p>
    <w:p>
      <w:pPr>
        <w:pStyle w:val="ListBullet"/>
        <w:spacing w:after="40"/>
      </w:pPr>
      <w:r>
        <w:t>CrossRiverWatch, Government Set Verification Exercise Dates For Gratuities Payment, 15 August 2024.</w:t>
      </w:r>
    </w:p>
    <w:sectPr w:rsidR="00FC693F" w:rsidRPr="0006063C" w:rsidSect="00034616">
      <w:headerReference w:type="default" r:id="rId9"/>
      <w:footerReference w:type="default" r:id="rId10"/>
      <w:pgSz w:w="11906" w:h="16838"/>
      <w:pgMar w:top="1134" w:right="1020" w:bottom="96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6"/>
      </w:rPr>
      <w:t>Confidential Working Draft</w:t>
    </w:r>
    <w:r>
      <w:t xml:space="preserv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432000" cy="413217"/>
          <wp:docPr id="1" name="Picture 1"/>
          <wp:cNvGraphicFramePr>
            <a:graphicFrameLocks noChangeAspect="1"/>
          </wp:cNvGraphicFramePr>
          <a:graphic>
            <a:graphicData uri="http://schemas.openxmlformats.org/drawingml/2006/picture">
              <pic:pic>
                <pic:nvPicPr>
                  <pic:cNvPr id="0" name="crs_logo_white-087ea47b.png"/>
                  <pic:cNvPicPr/>
                </pic:nvPicPr>
                <pic:blipFill>
                  <a:blip r:embed="rId1"/>
                  <a:stretch>
                    <a:fillRect/>
                  </a:stretch>
                </pic:blipFill>
                <pic:spPr>
                  <a:xfrm>
                    <a:off x="0" y="0"/>
                    <a:ext cx="432000" cy="413217"/>
                  </a:xfrm>
                  <a:prstGeom prst="rect"/>
                </pic:spPr>
              </pic:pic>
            </a:graphicData>
          </a:graphic>
        </wp:inline>
      </w:drawing>
    </w:r>
    <w:r>
      <w:rPr>
        <w:rFonts w:ascii="Aptos" w:hAnsi="Aptos"/>
        <w:b/>
        <w:color w:val="5A5A5A"/>
        <w:sz w:val="17"/>
      </w:rPr>
      <w:t xml:space="preserve">  CRS-PDVS Executive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after="120" w:line="276" w:lineRule="auto"/>
    </w:pPr>
    <w:rPr>
      <w:rFonts w:ascii="Aptos" w:hAnsi="Aptos"/>
      <w:color w:val="282828"/>
      <w:sz w:val="22"/>
    </w:rPr>
  </w:style>
  <w:style w:type="paragraph" w:customStyle="1" w:styleId="DocTitle">
    <w:name w:val="Doc Title"/>
    <w:pPr>
      <w:spacing w:after="120"/>
    </w:pPr>
    <w:rPr>
      <w:rFonts w:ascii="Aptos" w:hAnsi="Aptos"/>
      <w:b/>
      <w:color w:val="09217A"/>
      <w:sz w:val="40"/>
    </w:rPr>
  </w:style>
  <w:style w:type="paragraph" w:customStyle="1" w:styleId="Heading1Exec">
    <w:name w:val="Heading 1 Exec"/>
    <w:pPr>
      <w:spacing w:after="120" w:before="200"/>
    </w:pPr>
    <w:rPr>
      <w:rFonts w:ascii="Aptos" w:hAnsi="Aptos"/>
      <w:b/>
      <w:color w:val="09217A"/>
      <w:sz w:val="28"/>
    </w:rPr>
  </w:style>
  <w:style w:type="paragraph" w:customStyle="1" w:styleId="Heading2Exec">
    <w:name w:val="Heading 2 Exec"/>
    <w:pPr>
      <w:spacing w:after="120" w:before="120"/>
    </w:pPr>
    <w:rPr>
      <w:rFonts w:ascii="Aptos" w:hAnsi="Aptos"/>
      <w:b/>
      <w:color w:val="282828"/>
      <w:sz w:val="23"/>
    </w:rPr>
  </w:style>
  <w:style w:type="paragraph" w:customStyle="1" w:styleId="SmallCaps">
    <w:name w:val="Small Caps"/>
    <w:pPr>
      <w:spacing w:after="120"/>
    </w:pPr>
    <w:rPr>
      <w:rFonts w:ascii="Aptos" w:hAnsi="Aptos"/>
      <w:b w:val="0"/>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