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24000" cy="1170783"/>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1"/>
                    <a:stretch>
                      <a:fillRect/>
                    </a:stretch>
                  </pic:blipFill>
                  <pic:spPr>
                    <a:xfrm>
                      <a:off x="0" y="0"/>
                      <a:ext cx="1224000" cy="1170783"/>
                    </a:xfrm>
                    <a:prstGeom prst="rect"/>
                  </pic:spPr>
                </pic:pic>
              </a:graphicData>
            </a:graphic>
          </wp:inline>
        </w:drawing>
      </w:r>
    </w:p>
    <w:p>
      <w:pPr>
        <w:jc w:val="center"/>
      </w:pPr>
      <w:r>
        <w:rPr>
          <w:rFonts w:ascii="Aptos" w:hAnsi="Aptos"/>
          <w:smallCaps/>
          <w:color w:val="5A5A5A"/>
          <w:sz w:val="20"/>
        </w:rPr>
        <w:t>Executive Document 03</w:t>
      </w:r>
    </w:p>
    <w:p>
      <w:pPr>
        <w:pStyle w:val="DocTitle"/>
        <w:jc w:val="center"/>
      </w:pPr>
      <w:r>
        <w:t>Background and Current Challenge</w:t>
      </w:r>
    </w:p>
    <w:p>
      <w:pPr>
        <w:jc w:val="center"/>
      </w:pPr>
      <w:r>
        <w:rPr>
          <w:rFonts w:ascii="Aptos" w:hAnsi="Aptos"/>
          <w:i/>
          <w:color w:val="5A5A5A"/>
          <w:sz w:val="22"/>
        </w:rPr>
        <w:t>Operational reality, pensioner burden, and administrative context</w:t>
      </w:r>
    </w:p>
    <w:tbl>
      <w:tblPr>
        <w:tblW w:type="auto" w:w="0"/>
        <w:jc w:val="center"/>
        <w:tblLayout w:type="fixed"/>
        <w:tblLook w:firstColumn="1" w:firstRow="1" w:lastColumn="0" w:lastRow="0" w:noHBand="0" w:noVBand="1" w:val="04A0"/>
      </w:tblPr>
      <w:tblGrid>
        <w:gridCol w:w="4847"/>
        <w:gridCol w:w="4847"/>
      </w:tblGrid>
      <w:tr>
        <w:tc>
          <w:tcPr>
            <w:tcW w:type="dxa" w:w="2268"/>
            <w:tcMar>
              <w:top w:w="90" w:type="dxa"/>
              <w:start w:w="120" w:type="dxa"/>
              <w:bottom w:w="90" w:type="dxa"/>
              <w:end w:w="120" w:type="dxa"/>
            </w:tcMar>
            <w:vAlign w:val="center"/>
            <w:shd w:fill="EAF0FB"/>
          </w:tcPr>
          <w:p>
            <w:r>
              <w:rPr>
                <w:b/>
              </w:rPr>
              <w:t>Series</w:t>
            </w:r>
          </w:p>
        </w:tc>
        <w:tc>
          <w:tcPr>
            <w:tcW w:type="dxa" w:w="5669"/>
            <w:tcMar>
              <w:top w:w="90" w:type="dxa"/>
              <w:start w:w="120" w:type="dxa"/>
              <w:bottom w:w="90" w:type="dxa"/>
              <w:end w:w="120" w:type="dxa"/>
            </w:tcMar>
            <w:vAlign w:val="center"/>
          </w:tcPr>
          <w:p>
            <w:r>
              <w:t>CRS-PDVS Executive Brief Set</w:t>
            </w:r>
          </w:p>
        </w:tc>
      </w:tr>
      <w:tr>
        <w:tc>
          <w:tcPr>
            <w:tcW w:type="dxa" w:w="2268"/>
            <w:tcMar>
              <w:top w:w="90" w:type="dxa"/>
              <w:start w:w="120" w:type="dxa"/>
              <w:bottom w:w="90" w:type="dxa"/>
              <w:end w:w="120" w:type="dxa"/>
            </w:tcMar>
            <w:vAlign w:val="center"/>
            <w:shd w:fill="EAF0FB"/>
          </w:tcPr>
          <w:p>
            <w:r>
              <w:rPr>
                <w:b/>
              </w:rPr>
              <w:t>Status</w:t>
            </w:r>
          </w:p>
        </w:tc>
        <w:tc>
          <w:tcPr>
            <w:tcW w:type="dxa" w:w="5669"/>
            <w:tcMar>
              <w:top w:w="90" w:type="dxa"/>
              <w:start w:w="120" w:type="dxa"/>
              <w:bottom w:w="90" w:type="dxa"/>
              <w:end w:w="120" w:type="dxa"/>
            </w:tcMar>
            <w:vAlign w:val="center"/>
          </w:tcPr>
          <w:p>
            <w:r>
              <w:t>Confidential Working Draft</w:t>
            </w:r>
          </w:p>
        </w:tc>
      </w:tr>
      <w:tr>
        <w:tc>
          <w:tcPr>
            <w:tcW w:type="dxa" w:w="2268"/>
            <w:tcMar>
              <w:top w:w="90" w:type="dxa"/>
              <w:start w:w="120" w:type="dxa"/>
              <w:bottom w:w="90" w:type="dxa"/>
              <w:end w:w="120" w:type="dxa"/>
            </w:tcMar>
            <w:vAlign w:val="center"/>
            <w:shd w:fill="EAF0FB"/>
          </w:tcPr>
          <w:p>
            <w:r>
              <w:rPr>
                <w:b/>
              </w:rPr>
              <w:t>Prepared for</w:t>
            </w:r>
          </w:p>
        </w:tc>
        <w:tc>
          <w:tcPr>
            <w:tcW w:type="dxa" w:w="5669"/>
            <w:tcMar>
              <w:top w:w="90" w:type="dxa"/>
              <w:start w:w="120" w:type="dxa"/>
              <w:bottom w:w="90" w:type="dxa"/>
              <w:end w:w="120" w:type="dxa"/>
            </w:tcMar>
            <w:vAlign w:val="center"/>
          </w:tcPr>
          <w:p>
            <w:r>
              <w:t>Institutional Review and Stakeholder Engagement</w:t>
            </w:r>
          </w:p>
        </w:tc>
      </w:tr>
    </w:tbl>
    <w:p/>
    <w:p>
      <w:r>
        <w:br w:type="page"/>
      </w:r>
    </w:p>
    <w:p>
      <w:pPr>
        <w:jc w:val="left"/>
      </w:pPr>
      <w:r>
        <w:rPr>
          <w:rFonts w:ascii="Aptos" w:hAnsi="Aptos"/>
          <w:b/>
          <w:color w:val="09217A"/>
          <w:sz w:val="18"/>
        </w:rPr>
        <w:t>CRS-PDVS Executive Brief Series</w:t>
      </w:r>
    </w:p>
    <w:p>
      <w:pPr>
        <w:pStyle w:val="Heading1Exec"/>
      </w:pPr>
      <w:r>
        <w:t>Current Operating Reality</w:t>
      </w:r>
    </w:p>
    <w:p>
      <w:pPr>
        <w:pStyle w:val="Body"/>
        <w:jc w:val="both"/>
      </w:pPr>
      <w:r>
        <w:t>Pension verification remains an important control activity. It supports record integrity, reduces the risk of ineligible claims, and helps government validate entitlement before payment decisions are taken. The problem is not the need for verification itself. The problem is the cost, burden, and inefficiency that arise when verification remains heavily dependent on physical attendance.</w:t>
      </w:r>
    </w:p>
    <w:p>
      <w:pPr>
        <w:pStyle w:val="Body"/>
        <w:jc w:val="both"/>
      </w:pPr>
      <w:r>
        <w:t>Cross River State's demographic and geographic profile makes that burden more visible. The state has a projected 2024 population of about 5.1 million distributed across eighteen local government areas, with service conditions ranging from dense urban corridors in Calabar to harder-to-reach northern and border communities.</w:t>
      </w:r>
    </w:p>
    <w:p>
      <w:pPr>
        <w:pStyle w:val="Heading2Exec"/>
      </w:pPr>
      <w:r>
        <w:t>Cross River State Operating Context</w:t>
      </w:r>
    </w:p>
    <w:tbl>
      <w:tblPr>
        <w:tblW w:type="auto" w:w="0"/>
        <w:jc w:val="center"/>
        <w:tblLayout w:type="fixed"/>
        <w:tblLook w:firstColumn="1" w:firstRow="1" w:lastColumn="0" w:lastRow="0" w:noHBand="0" w:noVBand="1" w:val="04A0"/>
      </w:tblPr>
      <w:tblGrid>
        <w:gridCol w:w="2948"/>
        <w:gridCol w:w="6236"/>
      </w:tblGrid>
      <w:tr>
        <w:tc>
          <w:tcPr>
            <w:tcW w:type="dxa" w:w="4847"/>
            <w:shd w:fill="DCE6F8"/>
            <w:tcMar>
              <w:top w:w="80" w:type="dxa"/>
              <w:start w:w="100" w:type="dxa"/>
              <w:bottom w:w="80" w:type="dxa"/>
              <w:end w:w="100" w:type="dxa"/>
            </w:tcMar>
            <w:vAlign w:val="center"/>
          </w:tcPr>
          <w:p>
            <w:r>
              <w:rPr>
                <w:b/>
                <w:color w:val="09217A"/>
              </w:rPr>
              <w:t>Context</w:t>
            </w:r>
          </w:p>
        </w:tc>
        <w:tc>
          <w:tcPr>
            <w:tcW w:type="dxa" w:w="4847"/>
            <w:shd w:fill="DCE6F8"/>
            <w:tcMar>
              <w:top w:w="80" w:type="dxa"/>
              <w:start w:w="100" w:type="dxa"/>
              <w:bottom w:w="80" w:type="dxa"/>
              <w:end w:w="100" w:type="dxa"/>
            </w:tcMar>
            <w:vAlign w:val="center"/>
          </w:tcPr>
          <w:p>
            <w:r>
              <w:rPr>
                <w:b/>
                <w:color w:val="09217A"/>
              </w:rPr>
              <w:t>Current Reference Point</w:t>
            </w:r>
          </w:p>
        </w:tc>
      </w:tr>
      <w:tr>
        <w:tc>
          <w:tcPr>
            <w:tcW w:type="dxa" w:w="2948"/>
            <w:tcMar>
              <w:top w:w="80" w:type="dxa"/>
              <w:start w:w="100" w:type="dxa"/>
              <w:bottom w:w="80" w:type="dxa"/>
              <w:end w:w="100" w:type="dxa"/>
            </w:tcMar>
            <w:vAlign w:val="center"/>
          </w:tcPr>
          <w:p>
            <w:r>
              <w:t>State structure</w:t>
            </w:r>
          </w:p>
        </w:tc>
        <w:tc>
          <w:tcPr>
            <w:tcW w:type="dxa" w:w="6236"/>
            <w:tcMar>
              <w:top w:w="80" w:type="dxa"/>
              <w:start w:w="100" w:type="dxa"/>
              <w:bottom w:w="80" w:type="dxa"/>
              <w:end w:w="100" w:type="dxa"/>
            </w:tcMar>
            <w:vAlign w:val="center"/>
          </w:tcPr>
          <w:p>
            <w:r>
              <w:t>18 Local Government Areas spread across the southern coast, central belt and northern highlands.</w:t>
            </w:r>
          </w:p>
        </w:tc>
      </w:tr>
      <w:tr>
        <w:tc>
          <w:tcPr>
            <w:tcW w:type="dxa" w:w="2948"/>
            <w:tcMar>
              <w:top w:w="80" w:type="dxa"/>
              <w:start w:w="100" w:type="dxa"/>
              <w:bottom w:w="80" w:type="dxa"/>
              <w:end w:w="100" w:type="dxa"/>
            </w:tcMar>
            <w:vAlign w:val="center"/>
          </w:tcPr>
          <w:p>
            <w:r>
              <w:t>Population</w:t>
            </w:r>
          </w:p>
        </w:tc>
        <w:tc>
          <w:tcPr>
            <w:tcW w:type="dxa" w:w="6236"/>
            <w:tcMar>
              <w:top w:w="80" w:type="dxa"/>
              <w:start w:w="100" w:type="dxa"/>
              <w:bottom w:w="80" w:type="dxa"/>
              <w:end w:w="100" w:type="dxa"/>
            </w:tcMar>
            <w:vAlign w:val="center"/>
          </w:tcPr>
          <w:p>
            <w:r>
              <w:t>Projected 2024 population of about 5.1 million, with administrative demand concentrated across both urban and rural communities.</w:t>
            </w:r>
          </w:p>
        </w:tc>
      </w:tr>
      <w:tr>
        <w:tc>
          <w:tcPr>
            <w:tcW w:type="dxa" w:w="2948"/>
            <w:tcMar>
              <w:top w:w="80" w:type="dxa"/>
              <w:start w:w="100" w:type="dxa"/>
              <w:bottom w:w="80" w:type="dxa"/>
              <w:end w:w="100" w:type="dxa"/>
            </w:tcMar>
            <w:vAlign w:val="center"/>
          </w:tcPr>
          <w:p>
            <w:r>
              <w:t>Access reality</w:t>
            </w:r>
          </w:p>
        </w:tc>
        <w:tc>
          <w:tcPr>
            <w:tcW w:type="dxa" w:w="6236"/>
            <w:tcMar>
              <w:top w:w="80" w:type="dxa"/>
              <w:start w:w="100" w:type="dxa"/>
              <w:bottom w:w="80" w:type="dxa"/>
              <w:end w:w="100" w:type="dxa"/>
            </w:tcMar>
            <w:vAlign w:val="center"/>
          </w:tcPr>
          <w:p>
            <w:r>
              <w:t>Distances from Calabar vary widely - from 5 km to Calabar South to about 380 km to Obanliku - which affects ease of travel for elderly pensioners.</w:t>
            </w:r>
          </w:p>
        </w:tc>
      </w:tr>
      <w:tr>
        <w:tc>
          <w:tcPr>
            <w:tcW w:type="dxa" w:w="2948"/>
            <w:tcMar>
              <w:top w:w="80" w:type="dxa"/>
              <w:start w:w="100" w:type="dxa"/>
              <w:bottom w:w="80" w:type="dxa"/>
              <w:end w:w="100" w:type="dxa"/>
            </w:tcMar>
            <w:vAlign w:val="center"/>
          </w:tcPr>
          <w:p>
            <w:r>
              <w:t>Administrative signal</w:t>
            </w:r>
          </w:p>
        </w:tc>
        <w:tc>
          <w:tcPr>
            <w:tcW w:type="dxa" w:w="6236"/>
            <w:tcMar>
              <w:top w:w="80" w:type="dxa"/>
              <w:start w:w="100" w:type="dxa"/>
              <w:bottom w:w="80" w:type="dxa"/>
              <w:end w:w="100" w:type="dxa"/>
            </w:tcMar>
            <w:vAlign w:val="center"/>
          </w:tcPr>
          <w:p>
            <w:r>
              <w:t>The 2026 approved budget includes a line item for verification of local government pensioners, indicating that verification remains a live administrative function.</w:t>
            </w:r>
          </w:p>
        </w:tc>
      </w:tr>
    </w:tbl>
    <w:p>
      <w:pPr>
        <w:pStyle w:val="Heading1Exec"/>
      </w:pPr>
      <w:r>
        <w:t>Pensioner Burden</w:t>
      </w:r>
    </w:p>
    <w:p>
      <w:pPr>
        <w:pStyle w:val="Body"/>
        <w:jc w:val="both"/>
      </w:pPr>
      <w:r>
        <w:t>For many pensioners, especially the elderly, a physical verification model can translate into transport cost, fatigue, repeated trips, long waiting periods, weather exposure, and reliance on intermediaries. The issue is not only inconvenience. It is service design that may be misaligned with the health, mobility, and confidence profile of the people expected to use it.</w:t>
      </w:r>
    </w:p>
    <w:p>
      <w:pPr>
        <w:pStyle w:val="Body"/>
        <w:jc w:val="both"/>
      </w:pPr>
      <w:r>
        <w:t>Where the same service must work for an elderly pensioner in Calabar South and another in Obanliku, Ogoja, Yala, or Boki, the cost of a purely attendance-based approach becomes easier to see. Distance, terrain, weather, and digital confidence are not identical across the state.</w:t>
      </w:r>
    </w:p>
    <w:p>
      <w:pPr>
        <w:pStyle w:val="Heading1Exec"/>
      </w:pPr>
      <w:r>
        <w:t>Administrative Burden</w:t>
      </w:r>
    </w:p>
    <w:p>
      <w:pPr>
        <w:pStyle w:val="Body"/>
        <w:jc w:val="both"/>
      </w:pPr>
      <w:r>
        <w:t>The current pattern also creates institutional pressure. Event-based verification exercises are resource-intensive. They require venue coordination, staffing, queues, manual handling of exceptions, and after-action reconciliation. In such settings, visibility into who has verified, who failed, who requires support, and which records need review may remain fragmented.</w:t>
      </w:r>
    </w:p>
    <w:p>
      <w:pPr>
        <w:pStyle w:val="Body"/>
        <w:jc w:val="both"/>
      </w:pPr>
      <w:r>
        <w:t>Recent public reporting within the state further suggests that pension and gratuity administration continues to sit within a sensitive operational environment where verification, auditing, and payment processing are closely watched by retirees and the wider public.</w:t>
      </w:r>
    </w:p>
    <w:p>
      <w:pPr>
        <w:pStyle w:val="Heading1Exec"/>
      </w:pPr>
      <w:r>
        <w:t>Problem Statement</w:t>
      </w:r>
    </w:p>
    <w:p>
      <w:pPr>
        <w:pStyle w:val="Body"/>
        <w:jc w:val="both"/>
      </w:pPr>
      <w:r>
        <w:t>Cross River State therefore faces a dual challenge: how to preserve accountability in pensioner verification while reducing avoidable stress on elderly citizens and improving administrative efficiency. CRS-PDVS is framed as a response to that dual challenge.</w:t>
      </w:r>
    </w:p>
    <w:p>
      <w:pPr>
        <w:pStyle w:val="Heading2Exec"/>
      </w:pPr>
      <w:r>
        <w:t>Reference Basis</w:t>
      </w:r>
    </w:p>
    <w:p>
      <w:pPr>
        <w:pStyle w:val="ListBullet"/>
        <w:spacing w:after="40"/>
      </w:pPr>
      <w:r>
        <w:t>Cross River State Bureau of Statistics, Facts and Figures of Cross River State, 2024 edition.</w:t>
      </w:r>
    </w:p>
    <w:p>
      <w:pPr>
        <w:pStyle w:val="ListBullet"/>
        <w:spacing w:after="40"/>
      </w:pPr>
      <w:r>
        <w:t>Cross River State official website history and state profile pages.</w:t>
      </w:r>
    </w:p>
    <w:p>
      <w:pPr>
        <w:pStyle w:val="ListBullet"/>
        <w:spacing w:after="40"/>
      </w:pPr>
      <w:r>
        <w:t>CrossRiverWatch pension-verification and gratuity coverage.</w:t>
      </w:r>
    </w:p>
    <w:sectPr w:rsidR="00FC693F" w:rsidRPr="0006063C" w:rsidSect="00034616">
      <w:headerReference w:type="default" r:id="rId9"/>
      <w:footerReference w:type="default" r:id="rId10"/>
      <w:pgSz w:w="11906" w:h="16838"/>
      <w:pgMar w:top="1134" w:right="1020" w:bottom="964"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Confidential Working Draft</w:t>
    </w:r>
    <w:r>
      <w:t xml:space="preserv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2000" cy="413217"/>
          <wp:docPr id="1" name="Picture 1"/>
          <wp:cNvGraphicFramePr>
            <a:graphicFrameLocks noChangeAspect="1"/>
          </wp:cNvGraphicFramePr>
          <a:graphic>
            <a:graphicData uri="http://schemas.openxmlformats.org/drawingml/2006/picture">
              <pic:pic>
                <pic:nvPicPr>
                  <pic:cNvPr id="0" name="crs_logo_white-087ea47b.png"/>
                  <pic:cNvPicPr/>
                </pic:nvPicPr>
                <pic:blipFill>
                  <a:blip r:embed="rId1"/>
                  <a:stretch>
                    <a:fillRect/>
                  </a:stretch>
                </pic:blipFill>
                <pic:spPr>
                  <a:xfrm>
                    <a:off x="0" y="0"/>
                    <a:ext cx="432000" cy="413217"/>
                  </a:xfrm>
                  <a:prstGeom prst="rect"/>
                </pic:spPr>
              </pic:pic>
            </a:graphicData>
          </a:graphic>
        </wp:inline>
      </w:drawing>
    </w:r>
    <w:r>
      <w:rPr>
        <w:rFonts w:ascii="Aptos" w:hAnsi="Aptos"/>
        <w:b/>
        <w:color w:val="5A5A5A"/>
        <w:sz w:val="17"/>
      </w:rPr>
      <w:t xml:space="preserve">  CRS-PDVS Executive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120" w:line="276" w:lineRule="auto"/>
    </w:pPr>
    <w:rPr>
      <w:rFonts w:ascii="Aptos" w:hAnsi="Aptos"/>
      <w:color w:val="282828"/>
      <w:sz w:val="22"/>
    </w:rPr>
  </w:style>
  <w:style w:type="paragraph" w:customStyle="1" w:styleId="DocTitle">
    <w:name w:val="Doc Title"/>
    <w:pPr>
      <w:spacing w:after="120"/>
    </w:pPr>
    <w:rPr>
      <w:rFonts w:ascii="Aptos" w:hAnsi="Aptos"/>
      <w:b/>
      <w:color w:val="09217A"/>
      <w:sz w:val="40"/>
    </w:rPr>
  </w:style>
  <w:style w:type="paragraph" w:customStyle="1" w:styleId="Heading1Exec">
    <w:name w:val="Heading 1 Exec"/>
    <w:pPr>
      <w:spacing w:after="120" w:before="200"/>
    </w:pPr>
    <w:rPr>
      <w:rFonts w:ascii="Aptos" w:hAnsi="Aptos"/>
      <w:b/>
      <w:color w:val="09217A"/>
      <w:sz w:val="28"/>
    </w:rPr>
  </w:style>
  <w:style w:type="paragraph" w:customStyle="1" w:styleId="Heading2Exec">
    <w:name w:val="Heading 2 Exec"/>
    <w:pPr>
      <w:spacing w:after="120" w:before="120"/>
    </w:pPr>
    <w:rPr>
      <w:rFonts w:ascii="Aptos" w:hAnsi="Aptos"/>
      <w:b/>
      <w:color w:val="282828"/>
      <w:sz w:val="23"/>
    </w:rPr>
  </w:style>
  <w:style w:type="paragraph" w:customStyle="1" w:styleId="SmallCaps">
    <w:name w:val="Small Caps"/>
    <w:pPr>
      <w:spacing w:after="120"/>
    </w:pPr>
    <w:rPr>
      <w:rFonts w:ascii="Aptos" w:hAnsi="Aptos"/>
      <w:b w:val="0"/>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