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170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smallCaps/>
          <w:color w:val="5A5A5A"/>
          <w:sz w:val="20"/>
        </w:rPr>
        <w:t>Executive Document 04</w:t>
      </w:r>
    </w:p>
    <w:p>
      <w:pPr>
        <w:pStyle w:val="DocTitle"/>
        <w:jc w:val="center"/>
      </w:pPr>
      <w:r>
        <w:t>Strategic Opportunity for Cross River State</w:t>
      </w:r>
    </w:p>
    <w:p>
      <w:pPr>
        <w:jc w:val="center"/>
      </w:pPr>
      <w:r>
        <w:rPr>
          <w:rFonts w:ascii="Aptos" w:hAnsi="Aptos"/>
          <w:i/>
          <w:color w:val="5A5A5A"/>
          <w:sz w:val="22"/>
        </w:rPr>
        <w:t>Why a digital verification service is now a reasonable modernization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CRS-PDVS Executive Brief Set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Confidential Working Draft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Institutional Review and Stakeholder Engagement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ptos" w:hAnsi="Aptos"/>
          <w:b/>
          <w:color w:val="09217A"/>
          <w:sz w:val="18"/>
        </w:rPr>
        <w:t>CRS-PDVS Executive Brief Series</w:t>
      </w:r>
    </w:p>
    <w:p>
      <w:pPr>
        <w:pStyle w:val="Heading1Exec"/>
      </w:pPr>
      <w:r>
        <w:t>Why Timing is Favourable</w:t>
      </w:r>
    </w:p>
    <w:p>
      <w:pPr>
        <w:pStyle w:val="Body"/>
        <w:jc w:val="both"/>
      </w:pPr>
      <w:r>
        <w:t>Cross River State already has the administrative signals that justify a disciplined digital verification initiative. Verification is a recognized state function. Identity assurance is now more mature nationally through NIN and BVN-linked verification rails. Public-sector data-protection obligations are clearer. Comparative pension systems have also shown that digital life-verification can be introduced in a phased and controlled manner.</w:t>
      </w:r>
    </w:p>
    <w:p>
      <w:pPr>
        <w:pStyle w:val="Body"/>
        <w:jc w:val="both"/>
      </w:pPr>
      <w:r>
        <w:t>This means the State does not need to justify the idea of verification from the beginning. It needs to decide whether verification can be delivered more intelligently.</w:t>
      </w:r>
    </w:p>
    <w:p>
      <w:pPr>
        <w:pStyle w:val="Heading2Exec"/>
      </w:pPr>
      <w:r>
        <w:t>Cross River State Operating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Context</w:t>
            </w:r>
          </w:p>
        </w:tc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Current Reference Point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State structure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18 Local Government Areas spread across the southern coast, central belt and northern highlands.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Population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Projected 2024 population of about 5.1 million, with administrative demand concentrated across both urban and rural communities.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Access reality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Distances from Calabar vary widely - from 5 km to Calabar South to about 380 km to Obanliku - which affects ease of travel for elderly pensioners.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Administrative signal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2026 approved budget includes a line item for verification of local government pensioners, indicating that verification remains a live administrative function.</w:t>
            </w:r>
          </w:p>
        </w:tc>
      </w:tr>
    </w:tbl>
    <w:p>
      <w:pPr>
        <w:pStyle w:val="Heading1Exec"/>
      </w:pPr>
      <w:r>
        <w:t>Why the Opportunity is State-Relevant</w:t>
      </w:r>
    </w:p>
    <w:p>
      <w:pPr>
        <w:pStyle w:val="Body"/>
        <w:jc w:val="both"/>
      </w:pPr>
      <w:r>
        <w:t>The state has a strong case for a service model that accounts for geography. Cross River includes coastal, forest, riverine, urban, agricultural, and highland areas. A single physical-touchpoint model is naturally less efficient in a state where LGAs vary materially in distance from Calabar and in service access conditions.</w:t>
      </w:r>
    </w:p>
    <w:p>
      <w:pPr>
        <w:pStyle w:val="Body"/>
        <w:jc w:val="both"/>
      </w:pPr>
      <w:r>
        <w:t>A digital-first but assisted-access model allows the State to improve service without excluding pensioners who still require support. That balance matters. The solution should reduce burden without creating a new digital barrier.</w:t>
      </w:r>
    </w:p>
    <w:p>
      <w:pPr>
        <w:pStyle w:val="Heading1Exec"/>
      </w:pPr>
      <w:r>
        <w:t>Alignment with Current Governance Direction</w:t>
      </w:r>
    </w:p>
    <w:p>
      <w:pPr>
        <w:pStyle w:val="Body"/>
        <w:jc w:val="both"/>
      </w:pPr>
      <w:r>
        <w:t>A carefully designed pensioner verification platform is consistent with a state posture that values accountability, service improvement, and orderly modernization. It can be presented as a practical public-service reform rather than a large technology gamble.</w:t>
      </w:r>
    </w:p>
    <w:p>
      <w:pPr>
        <w:pStyle w:val="Body"/>
        <w:jc w:val="both"/>
      </w:pPr>
      <w:r>
        <w:t>The strategic value is especially strong because the first phase does not require full pension-system replacement. It requires a focused modernization of one painful process - proof-of-life and verification workflow - with clear visibility into results and exceptions.</w:t>
      </w:r>
    </w:p>
    <w:p>
      <w:pPr>
        <w:pStyle w:val="Heading1Exec"/>
      </w:pPr>
      <w:r>
        <w:t>Opportunity Statement</w:t>
      </w:r>
    </w:p>
    <w:p>
      <w:pPr>
        <w:pStyle w:val="Body"/>
        <w:jc w:val="both"/>
      </w:pPr>
      <w:r>
        <w:t>Cross River State has a credible opportunity to move from episodic, venue-dependent verification toward a more distributed, data-aware, and pensioner-sensitive model. The prudent route is phased implementation under state ownership and institutional supervision.</w:t>
      </w:r>
    </w:p>
    <w:p>
      <w:pPr>
        <w:pStyle w:val="Heading2Exec"/>
      </w:pPr>
      <w:r>
        <w:t>Reference Basis</w:t>
      </w:r>
    </w:p>
    <w:p>
      <w:pPr>
        <w:pStyle w:val="ListBullet"/>
        <w:spacing w:after="40"/>
      </w:pPr>
      <w:r>
        <w:t>Cross River State Bureau of Statistics, Facts and Figures of Cross River State, 2024 edition.</w:t>
      </w:r>
    </w:p>
    <w:p>
      <w:pPr>
        <w:pStyle w:val="ListBullet"/>
        <w:spacing w:after="40"/>
      </w:pPr>
      <w:r>
        <w:t>NIMC public materials on NIN and NIN-based authentication/verification services.</w:t>
      </w:r>
    </w:p>
    <w:p>
      <w:pPr>
        <w:pStyle w:val="ListBullet"/>
        <w:spacing w:after="40"/>
      </w:pPr>
      <w:r>
        <w:t>PenCom 2026 Guidelines for Verification and Enrolment of Prospective Retirees.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>Confidential Working Draft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2000" cy="4132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s_logo_white-087ea47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21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A5A5A"/>
        <w:sz w:val="17"/>
      </w:rPr>
      <w:t xml:space="preserve">  CRS-PDVS Executive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76" w:lineRule="auto"/>
    </w:pPr>
    <w:rPr>
      <w:rFonts w:ascii="Aptos" w:hAnsi="Aptos"/>
      <w:color w:val="282828"/>
      <w:sz w:val="22"/>
    </w:rPr>
  </w:style>
  <w:style w:type="paragraph" w:customStyle="1" w:styleId="DocTitle">
    <w:name w:val="Doc Title"/>
    <w:pPr>
      <w:spacing w:after="120"/>
    </w:pPr>
    <w:rPr>
      <w:rFonts w:ascii="Aptos" w:hAnsi="Aptos"/>
      <w:b/>
      <w:color w:val="09217A"/>
      <w:sz w:val="40"/>
    </w:rPr>
  </w:style>
  <w:style w:type="paragraph" w:customStyle="1" w:styleId="Heading1Exec">
    <w:name w:val="Heading 1 Exec"/>
    <w:pPr>
      <w:spacing w:after="120" w:before="200"/>
    </w:pPr>
    <w:rPr>
      <w:rFonts w:ascii="Aptos" w:hAnsi="Aptos"/>
      <w:b/>
      <w:color w:val="09217A"/>
      <w:sz w:val="28"/>
    </w:rPr>
  </w:style>
  <w:style w:type="paragraph" w:customStyle="1" w:styleId="Heading2Exec">
    <w:name w:val="Heading 2 Exec"/>
    <w:pPr>
      <w:spacing w:after="120" w:before="120"/>
    </w:pPr>
    <w:rPr>
      <w:rFonts w:ascii="Aptos" w:hAnsi="Aptos"/>
      <w:b/>
      <w:color w:val="282828"/>
      <w:sz w:val="23"/>
    </w:rPr>
  </w:style>
  <w:style w:type="paragraph" w:customStyle="1" w:styleId="SmallCaps">
    <w:name w:val="Small Caps"/>
    <w:pPr>
      <w:spacing w:after="120"/>
    </w:pPr>
    <w:rPr>
      <w:rFonts w:ascii="Aptos" w:hAnsi="Aptos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