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24000" cy="1170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s_logo_white-087ea4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170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smallCaps/>
          <w:color w:val="5A5A5A"/>
          <w:sz w:val="20"/>
        </w:rPr>
        <w:t>Executive Document 06</w:t>
      </w:r>
    </w:p>
    <w:p>
      <w:pPr>
        <w:pStyle w:val="DocTitle"/>
        <w:jc w:val="center"/>
      </w:pPr>
      <w:r>
        <w:t>Core System Components</w:t>
      </w:r>
    </w:p>
    <w:p>
      <w:pPr>
        <w:jc w:val="center"/>
      </w:pPr>
      <w:r>
        <w:rPr>
          <w:rFonts w:ascii="Aptos" w:hAnsi="Aptos"/>
          <w:i/>
          <w:color w:val="5A5A5A"/>
          <w:sz w:val="22"/>
        </w:rPr>
        <w:t>Pensioner portal, administrative dashboard, assisted verification, and workflow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B"/>
          </w:tcPr>
          <w:p>
            <w:r>
              <w:rPr>
                <w:b/>
              </w:rPr>
              <w:t>Series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CRS-PDVS Executive Brief Set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B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Confidential Working Draft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B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Institutional Review and Stakeholder Engagement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Aptos" w:hAnsi="Aptos"/>
          <w:b/>
          <w:color w:val="09217A"/>
          <w:sz w:val="18"/>
        </w:rPr>
        <w:t>CRS-PDVS Executive Brief Series</w:t>
      </w:r>
    </w:p>
    <w:p>
      <w:pPr>
        <w:pStyle w:val="Heading1Exec"/>
      </w:pPr>
      <w:r>
        <w:t>Pensioner Verification Portal</w:t>
      </w:r>
    </w:p>
    <w:p>
      <w:pPr>
        <w:pStyle w:val="Body"/>
        <w:jc w:val="both"/>
      </w:pPr>
      <w:r>
        <w:t>The pensioner-facing portal should be mobile-first, clear, and low-friction. It should provide identity lookup, secure access, camera-enabled verification, result display, history, and support guidance. Every screen should reflect the needs of older users through stronger readability, limited steps, and plain language.</w:t>
      </w:r>
    </w:p>
    <w:p>
      <w:pPr>
        <w:pStyle w:val="Body"/>
        <w:jc w:val="both"/>
      </w:pPr>
      <w:r>
        <w:t>Because Cross River includes both densely populated Calabar corridors and more dispersed communities elsewhere, the interface must be usable on ordinary smartphones and resilient under imperfect connectivity conditions.</w:t>
      </w:r>
    </w:p>
    <w:p>
      <w:pPr>
        <w:pStyle w:val="Heading2Exec"/>
      </w:pPr>
      <w:r>
        <w:t>Cross River State Operating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236"/>
      </w:tblGrid>
      <w:tr>
        <w:tc>
          <w:tcPr>
            <w:tcW w:type="dxa" w:w="4847"/>
            <w:shd w:fill="DCE6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09217A"/>
              </w:rPr>
              <w:t>Context</w:t>
            </w:r>
          </w:p>
        </w:tc>
        <w:tc>
          <w:tcPr>
            <w:tcW w:type="dxa" w:w="4847"/>
            <w:shd w:fill="DCE6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09217A"/>
              </w:rPr>
              <w:t>Current Reference Point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State structure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18 Local Government Areas spread across the southern coast, central belt and northern highlands.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Population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Projected 2024 population of about 5.1 million, with administrative demand concentrated across both urban and rural communities.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Access reality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Distances from Calabar vary widely - from 5 km to Calabar South to about 380 km to Obanliku - which affects ease of travel for elderly pensioners.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Administrative signal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The 2026 approved budget includes a line item for verification of local government pensioners, indicating that verification remains a live administrative function.</w:t>
            </w:r>
          </w:p>
        </w:tc>
      </w:tr>
    </w:tbl>
    <w:p>
      <w:pPr>
        <w:pStyle w:val="Heading1Exec"/>
      </w:pPr>
      <w:r>
        <w:t>Administrative Dashboard</w:t>
      </w:r>
    </w:p>
    <w:p>
      <w:pPr>
        <w:pStyle w:val="Body"/>
        <w:jc w:val="both"/>
      </w:pPr>
      <w:r>
        <w:t>The administrative dashboard is the operational centre of the system. It should provide live visibility into verification volumes, cycle completion, failed attempts, manual-review queues, assisted-verification activity, and LGA-level patterns.</w:t>
      </w:r>
    </w:p>
    <w:p>
      <w:pPr>
        <w:pStyle w:val="Body"/>
        <w:jc w:val="both"/>
      </w:pPr>
      <w:r>
        <w:t>This is where the state gains measurable control. Officers should be able to search records, inspect verification history, review exceptions, and maintain a durable audit trail of sensitive actions.</w:t>
      </w:r>
    </w:p>
    <w:p>
      <w:pPr>
        <w:pStyle w:val="Heading1Exec"/>
      </w:pPr>
      <w:r>
        <w:t>Assisted Verification Mode</w:t>
      </w:r>
    </w:p>
    <w:p>
      <w:pPr>
        <w:pStyle w:val="Body"/>
        <w:jc w:val="both"/>
      </w:pPr>
      <w:r>
        <w:t>Assisted verification is not an optional add-on. It is a required service channel for pensioners who do not have the confidence, hardware, or connectivity to complete self-service verification on their own.</w:t>
      </w:r>
    </w:p>
    <w:p>
      <w:pPr>
        <w:pStyle w:val="Body"/>
        <w:jc w:val="both"/>
      </w:pPr>
      <w:r>
        <w:t>The assisted model can be used through approved pension-board points, designated local support centres, or supervised field arrangements. The key requirement is that the pensioner remains within the same verification system rather than being excluded from it.</w:t>
      </w:r>
    </w:p>
    <w:p>
      <w:pPr>
        <w:pStyle w:val="Heading1Exec"/>
      </w:pPr>
      <w:r>
        <w:t>Verification Record Workflow</w:t>
      </w:r>
    </w:p>
    <w:p>
      <w:pPr>
        <w:pStyle w:val="Body"/>
        <w:jc w:val="both"/>
      </w:pPr>
      <w:r>
        <w:t>Each verification session should result in one of a controlled set of states: verified, pending manual review, failed and retry permitted, or referred to assisted support. This structure keeps the workflow understandable for both pensioners and officers and avoids ambiguity around outcome handling.</w:t>
      </w:r>
    </w:p>
    <w:p>
      <w:pPr>
        <w:pStyle w:val="Heading2Exec"/>
      </w:pPr>
      <w:r>
        <w:t>Reference Basis</w:t>
      </w:r>
    </w:p>
    <w:p>
      <w:pPr>
        <w:pStyle w:val="ListBullet"/>
        <w:spacing w:after="40"/>
      </w:pPr>
      <w:r>
        <w:t>CRS-PDVS Prototype Blueprint.</w:t>
      </w:r>
    </w:p>
    <w:p>
      <w:pPr>
        <w:pStyle w:val="ListBullet"/>
        <w:spacing w:after="40"/>
      </w:pPr>
      <w:r>
        <w:t>Cross River State Bureau of Statistics context on LGA spread and distance from Calabar.</w:t>
      </w:r>
    </w:p>
    <w:p>
      <w:pPr>
        <w:pStyle w:val="ListBullet"/>
        <w:spacing w:after="40"/>
      </w:pPr>
      <w:r>
        <w:t>India Jeevan Pramaan official service model.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64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5A5A"/>
        <w:sz w:val="16"/>
      </w:rPr>
      <w:t>Confidential Working Draft</w:t>
    </w:r>
    <w:r>
      <w:t xml:space="preserve">   |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432000" cy="4132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rs_logo_white-087ea47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217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/>
        <w:b/>
        <w:color w:val="5A5A5A"/>
        <w:sz w:val="17"/>
      </w:rPr>
      <w:t xml:space="preserve">  CRS-PDVS Executive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20" w:line="276" w:lineRule="auto"/>
    </w:pPr>
    <w:rPr>
      <w:rFonts w:ascii="Aptos" w:hAnsi="Aptos"/>
      <w:color w:val="282828"/>
      <w:sz w:val="22"/>
    </w:rPr>
  </w:style>
  <w:style w:type="paragraph" w:customStyle="1" w:styleId="DocTitle">
    <w:name w:val="Doc Title"/>
    <w:pPr>
      <w:spacing w:after="120"/>
    </w:pPr>
    <w:rPr>
      <w:rFonts w:ascii="Aptos" w:hAnsi="Aptos"/>
      <w:b/>
      <w:color w:val="09217A"/>
      <w:sz w:val="40"/>
    </w:rPr>
  </w:style>
  <w:style w:type="paragraph" w:customStyle="1" w:styleId="Heading1Exec">
    <w:name w:val="Heading 1 Exec"/>
    <w:pPr>
      <w:spacing w:after="120" w:before="200"/>
    </w:pPr>
    <w:rPr>
      <w:rFonts w:ascii="Aptos" w:hAnsi="Aptos"/>
      <w:b/>
      <w:color w:val="09217A"/>
      <w:sz w:val="28"/>
    </w:rPr>
  </w:style>
  <w:style w:type="paragraph" w:customStyle="1" w:styleId="Heading2Exec">
    <w:name w:val="Heading 2 Exec"/>
    <w:pPr>
      <w:spacing w:after="120" w:before="120"/>
    </w:pPr>
    <w:rPr>
      <w:rFonts w:ascii="Aptos" w:hAnsi="Aptos"/>
      <w:b/>
      <w:color w:val="282828"/>
      <w:sz w:val="23"/>
    </w:rPr>
  </w:style>
  <w:style w:type="paragraph" w:customStyle="1" w:styleId="SmallCaps">
    <w:name w:val="Small Caps"/>
    <w:pPr>
      <w:spacing w:after="120"/>
    </w:pPr>
    <w:rPr>
      <w:rFonts w:ascii="Aptos" w:hAnsi="Aptos"/>
      <w:b w:val="0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