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24000" cy="11707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s_logo_white-087ea47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170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smallCaps/>
          <w:color w:val="5A5A5A"/>
          <w:sz w:val="20"/>
        </w:rPr>
        <w:t>Executive Document 07</w:t>
      </w:r>
    </w:p>
    <w:p>
      <w:pPr>
        <w:pStyle w:val="DocTitle"/>
        <w:jc w:val="center"/>
      </w:pPr>
      <w:r>
        <w:t>Benefits and Public Value</w:t>
      </w:r>
    </w:p>
    <w:p>
      <w:pPr>
        <w:jc w:val="center"/>
      </w:pPr>
      <w:r>
        <w:rPr>
          <w:rFonts w:ascii="Aptos" w:hAnsi="Aptos"/>
          <w:i/>
          <w:color w:val="5A5A5A"/>
          <w:sz w:val="22"/>
        </w:rPr>
        <w:t>Why the proposal matters for pensioners, government administration, and the 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0FB"/>
          </w:tcPr>
          <w:p>
            <w:r>
              <w:rPr>
                <w:b/>
              </w:rPr>
              <w:t>Series</w:t>
            </w:r>
          </w:p>
        </w:tc>
        <w:tc>
          <w:tcPr>
            <w:tcW w:type="dxa" w:w="56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CRS-PDVS Executive Brief Set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0FB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6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Confidential Working Draft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0FB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56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Institutional Review and Stakeholder Engagement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Aptos" w:hAnsi="Aptos"/>
          <w:b/>
          <w:color w:val="09217A"/>
          <w:sz w:val="18"/>
        </w:rPr>
        <w:t>CRS-PDVS Executive Brief Series</w:t>
      </w:r>
    </w:p>
    <w:p>
      <w:pPr>
        <w:pStyle w:val="Heading1Exec"/>
      </w:pPr>
      <w:r>
        <w:t>Benefits for Pensioners</w:t>
      </w:r>
    </w:p>
    <w:p>
      <w:pPr>
        <w:pStyle w:val="Body"/>
        <w:jc w:val="both"/>
      </w:pPr>
      <w:r>
        <w:t>The immediate public-value case lies in reduced avoidable burden. A pensioner should not have to undertake the same level of physical stress to complete a routine verification process where a secure remote option is reasonably possible.</w:t>
      </w:r>
    </w:p>
    <w:p>
      <w:pPr>
        <w:pStyle w:val="Body"/>
        <w:jc w:val="both"/>
      </w:pPr>
      <w:r>
        <w:t>For Cross River pensioners, especially those outside the immediate Calabar corridor, a digital and assisted model offers shorter travel requirements, clearer process guidance, less waiting time, and more dignified access to a required state service.</w:t>
      </w:r>
    </w:p>
    <w:p>
      <w:pPr>
        <w:pStyle w:val="Heading2Exec"/>
      </w:pPr>
      <w:r>
        <w:t>Cross River State Operating Context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236"/>
      </w:tblGrid>
      <w:tr>
        <w:tc>
          <w:tcPr>
            <w:tcW w:type="dxa" w:w="4847"/>
            <w:shd w:fill="DCE6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09217A"/>
              </w:rPr>
              <w:t>Context</w:t>
            </w:r>
          </w:p>
        </w:tc>
        <w:tc>
          <w:tcPr>
            <w:tcW w:type="dxa" w:w="4847"/>
            <w:shd w:fill="DCE6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09217A"/>
              </w:rPr>
              <w:t>Current Reference Point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State structure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18 Local Government Areas spread across the southern coast, central belt and northern highlands.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Population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Projected 2024 population of about 5.1 million, with administrative demand concentrated across both urban and rural communities.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Access reality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Distances from Calabar vary widely - from 5 km to Calabar South to about 380 km to Obanliku - which affects ease of travel for elderly pensioners.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Administrative signal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The 2026 approved budget includes a line item for verification of local government pensioners, indicating that verification remains a live administrative function.</w:t>
            </w:r>
          </w:p>
        </w:tc>
      </w:tr>
    </w:tbl>
    <w:p>
      <w:pPr>
        <w:pStyle w:val="Heading1Exec"/>
      </w:pPr>
      <w:r>
        <w:t>Benefits for Administrators</w:t>
      </w:r>
    </w:p>
    <w:p>
      <w:pPr>
        <w:pStyle w:val="Body"/>
        <w:jc w:val="both"/>
      </w:pPr>
      <w:r>
        <w:t>For government officers, the platform improves visibility. Instead of managing verification largely as a venue event, the State gains a structured record of who has completed verification, who needs attention, where exceptions are concentrated, and what action history exists on each case.</w:t>
      </w:r>
    </w:p>
    <w:p>
      <w:pPr>
        <w:pStyle w:val="Body"/>
        <w:jc w:val="both"/>
      </w:pPr>
      <w:r>
        <w:t>That improves not only efficiency but managerial accountability. Performance can be seen. Exceptions can be tracked. Backlogs can be understood earlier.</w:t>
      </w:r>
    </w:p>
    <w:p>
      <w:pPr>
        <w:pStyle w:val="Heading1Exec"/>
      </w:pPr>
      <w:r>
        <w:t>Benefits for Cross River State</w:t>
      </w:r>
    </w:p>
    <w:p>
      <w:pPr>
        <w:pStyle w:val="Body"/>
        <w:jc w:val="both"/>
      </w:pPr>
      <w:r>
        <w:t>At state level, the platform supports three policy values: citizen-centred service delivery, better administrative control, and more orderly digital modernization. It is a visible but measured reform - large enough to matter, but narrow enough to pilot responsibly.</w:t>
      </w:r>
    </w:p>
    <w:p>
      <w:pPr>
        <w:pStyle w:val="Body"/>
        <w:jc w:val="both"/>
      </w:pPr>
      <w:r>
        <w:t>The public value lies not in novelty. It lies in quieter improvements: fewer burdensome trips, cleaner records, clearer oversight, and better confidence that the state is modernizing one practical service in a disciplined way.</w:t>
      </w:r>
    </w:p>
    <w:p>
      <w:pPr>
        <w:pStyle w:val="Heading1Exec"/>
      </w:pPr>
      <w:r>
        <w:t>Public Value Statement</w:t>
      </w:r>
    </w:p>
    <w:p>
      <w:pPr>
        <w:pStyle w:val="Body"/>
        <w:jc w:val="both"/>
      </w:pPr>
      <w:r>
        <w:t>CRS-PDVS should therefore be assessed not merely as a technology initiative, but as a state-service improvement measure with welfare, operational, and accountability benefits.</w:t>
      </w:r>
    </w:p>
    <w:p>
      <w:pPr>
        <w:pStyle w:val="Heading2Exec"/>
      </w:pPr>
      <w:r>
        <w:t>Reference Basis</w:t>
      </w:r>
    </w:p>
    <w:p>
      <w:pPr>
        <w:pStyle w:val="ListBullet"/>
        <w:spacing w:after="40"/>
      </w:pPr>
      <w:r>
        <w:t>Cross River State Facts and Figures, 2024 edition.</w:t>
      </w:r>
    </w:p>
    <w:p>
      <w:pPr>
        <w:pStyle w:val="ListBullet"/>
        <w:spacing w:after="40"/>
      </w:pPr>
      <w:r>
        <w:t>Cross River State budget and public news references concerning verification and pension administration.</w:t>
      </w:r>
    </w:p>
    <w:p>
      <w:pPr>
        <w:pStyle w:val="ListBullet"/>
        <w:spacing w:after="40"/>
      </w:pPr>
      <w:r>
        <w:t>Comparative lessons from official digital life-certificate systems.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964" w:left="119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A5A5A"/>
        <w:sz w:val="16"/>
      </w:rPr>
      <w:t>Confidential Working Draft</w:t>
    </w:r>
    <w:r>
      <w:t xml:space="preserve">   |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432000" cy="41321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rs_logo_white-087ea47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2000" cy="413217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ptos" w:hAnsi="Aptos"/>
        <w:b/>
        <w:color w:val="5A5A5A"/>
        <w:sz w:val="17"/>
      </w:rPr>
      <w:t xml:space="preserve">  CRS-PDVS Executive Series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20" w:line="276" w:lineRule="auto"/>
    </w:pPr>
    <w:rPr>
      <w:rFonts w:ascii="Aptos" w:hAnsi="Aptos"/>
      <w:color w:val="282828"/>
      <w:sz w:val="22"/>
    </w:rPr>
  </w:style>
  <w:style w:type="paragraph" w:customStyle="1" w:styleId="DocTitle">
    <w:name w:val="Doc Title"/>
    <w:pPr>
      <w:spacing w:after="120"/>
    </w:pPr>
    <w:rPr>
      <w:rFonts w:ascii="Aptos" w:hAnsi="Aptos"/>
      <w:b/>
      <w:color w:val="09217A"/>
      <w:sz w:val="40"/>
    </w:rPr>
  </w:style>
  <w:style w:type="paragraph" w:customStyle="1" w:styleId="Heading1Exec">
    <w:name w:val="Heading 1 Exec"/>
    <w:pPr>
      <w:spacing w:after="120" w:before="200"/>
    </w:pPr>
    <w:rPr>
      <w:rFonts w:ascii="Aptos" w:hAnsi="Aptos"/>
      <w:b/>
      <w:color w:val="09217A"/>
      <w:sz w:val="28"/>
    </w:rPr>
  </w:style>
  <w:style w:type="paragraph" w:customStyle="1" w:styleId="Heading2Exec">
    <w:name w:val="Heading 2 Exec"/>
    <w:pPr>
      <w:spacing w:after="120" w:before="120"/>
    </w:pPr>
    <w:rPr>
      <w:rFonts w:ascii="Aptos" w:hAnsi="Aptos"/>
      <w:b/>
      <w:color w:val="282828"/>
      <w:sz w:val="23"/>
    </w:rPr>
  </w:style>
  <w:style w:type="paragraph" w:customStyle="1" w:styleId="SmallCaps">
    <w:name w:val="Small Caps"/>
    <w:pPr>
      <w:spacing w:after="120"/>
    </w:pPr>
    <w:rPr>
      <w:rFonts w:ascii="Aptos" w:hAnsi="Aptos"/>
      <w:b w:val="0"/>
      <w:color w:val="5A5A5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