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24000" cy="1170783"/>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11"/>
                    <a:stretch>
                      <a:fillRect/>
                    </a:stretch>
                  </pic:blipFill>
                  <pic:spPr>
                    <a:xfrm>
                      <a:off x="0" y="0"/>
                      <a:ext cx="1224000" cy="1170783"/>
                    </a:xfrm>
                    <a:prstGeom prst="rect"/>
                  </pic:spPr>
                </pic:pic>
              </a:graphicData>
            </a:graphic>
          </wp:inline>
        </w:drawing>
      </w:r>
    </w:p>
    <w:p>
      <w:pPr>
        <w:jc w:val="center"/>
      </w:pPr>
      <w:r>
        <w:rPr>
          <w:rFonts w:ascii="Aptos" w:hAnsi="Aptos"/>
          <w:smallCaps/>
          <w:color w:val="5A5A5A"/>
          <w:sz w:val="20"/>
        </w:rPr>
        <w:t>Executive Document 08</w:t>
      </w:r>
    </w:p>
    <w:p>
      <w:pPr>
        <w:pStyle w:val="DocTitle"/>
        <w:jc w:val="center"/>
      </w:pPr>
      <w:r>
        <w:t>Data Protection, Security and Governance</w:t>
      </w:r>
    </w:p>
    <w:p>
      <w:pPr>
        <w:jc w:val="center"/>
      </w:pPr>
      <w:r>
        <w:rPr>
          <w:rFonts w:ascii="Aptos" w:hAnsi="Aptos"/>
          <w:i/>
          <w:color w:val="5A5A5A"/>
          <w:sz w:val="22"/>
        </w:rPr>
        <w:t>Controls required for a biometric-enabled public-service platform</w:t>
      </w:r>
    </w:p>
    <w:tbl>
      <w:tblPr>
        <w:tblW w:type="auto" w:w="0"/>
        <w:jc w:val="center"/>
        <w:tblLayout w:type="fixed"/>
        <w:tblLook w:firstColumn="1" w:firstRow="1" w:lastColumn="0" w:lastRow="0" w:noHBand="0" w:noVBand="1" w:val="04A0"/>
      </w:tblPr>
      <w:tblGrid>
        <w:gridCol w:w="4847"/>
        <w:gridCol w:w="4847"/>
      </w:tblGrid>
      <w:tr>
        <w:tc>
          <w:tcPr>
            <w:tcW w:type="dxa" w:w="2268"/>
            <w:tcMar>
              <w:top w:w="90" w:type="dxa"/>
              <w:start w:w="120" w:type="dxa"/>
              <w:bottom w:w="90" w:type="dxa"/>
              <w:end w:w="120" w:type="dxa"/>
            </w:tcMar>
            <w:vAlign w:val="center"/>
            <w:shd w:fill="EAF0FB"/>
          </w:tcPr>
          <w:p>
            <w:r>
              <w:rPr>
                <w:b/>
              </w:rPr>
              <w:t>Series</w:t>
            </w:r>
          </w:p>
        </w:tc>
        <w:tc>
          <w:tcPr>
            <w:tcW w:type="dxa" w:w="5669"/>
            <w:tcMar>
              <w:top w:w="90" w:type="dxa"/>
              <w:start w:w="120" w:type="dxa"/>
              <w:bottom w:w="90" w:type="dxa"/>
              <w:end w:w="120" w:type="dxa"/>
            </w:tcMar>
            <w:vAlign w:val="center"/>
          </w:tcPr>
          <w:p>
            <w:r>
              <w:t>CRS-PDVS Executive Brief Set</w:t>
            </w:r>
          </w:p>
        </w:tc>
      </w:tr>
      <w:tr>
        <w:tc>
          <w:tcPr>
            <w:tcW w:type="dxa" w:w="2268"/>
            <w:tcMar>
              <w:top w:w="90" w:type="dxa"/>
              <w:start w:w="120" w:type="dxa"/>
              <w:bottom w:w="90" w:type="dxa"/>
              <w:end w:w="120" w:type="dxa"/>
            </w:tcMar>
            <w:vAlign w:val="center"/>
            <w:shd w:fill="EAF0FB"/>
          </w:tcPr>
          <w:p>
            <w:r>
              <w:rPr>
                <w:b/>
              </w:rPr>
              <w:t>Status</w:t>
            </w:r>
          </w:p>
        </w:tc>
        <w:tc>
          <w:tcPr>
            <w:tcW w:type="dxa" w:w="5669"/>
            <w:tcMar>
              <w:top w:w="90" w:type="dxa"/>
              <w:start w:w="120" w:type="dxa"/>
              <w:bottom w:w="90" w:type="dxa"/>
              <w:end w:w="120" w:type="dxa"/>
            </w:tcMar>
            <w:vAlign w:val="center"/>
          </w:tcPr>
          <w:p>
            <w:r>
              <w:t>Confidential Working Draft</w:t>
            </w:r>
          </w:p>
        </w:tc>
      </w:tr>
      <w:tr>
        <w:tc>
          <w:tcPr>
            <w:tcW w:type="dxa" w:w="2268"/>
            <w:tcMar>
              <w:top w:w="90" w:type="dxa"/>
              <w:start w:w="120" w:type="dxa"/>
              <w:bottom w:w="90" w:type="dxa"/>
              <w:end w:w="120" w:type="dxa"/>
            </w:tcMar>
            <w:vAlign w:val="center"/>
            <w:shd w:fill="EAF0FB"/>
          </w:tcPr>
          <w:p>
            <w:r>
              <w:rPr>
                <w:b/>
              </w:rPr>
              <w:t>Prepared for</w:t>
            </w:r>
          </w:p>
        </w:tc>
        <w:tc>
          <w:tcPr>
            <w:tcW w:type="dxa" w:w="5669"/>
            <w:tcMar>
              <w:top w:w="90" w:type="dxa"/>
              <w:start w:w="120" w:type="dxa"/>
              <w:bottom w:w="90" w:type="dxa"/>
              <w:end w:w="120" w:type="dxa"/>
            </w:tcMar>
            <w:vAlign w:val="center"/>
          </w:tcPr>
          <w:p>
            <w:r>
              <w:t>Institutional Review and Stakeholder Engagement</w:t>
            </w:r>
          </w:p>
        </w:tc>
      </w:tr>
    </w:tbl>
    <w:p/>
    <w:p>
      <w:r>
        <w:br w:type="page"/>
      </w:r>
    </w:p>
    <w:p>
      <w:pPr>
        <w:jc w:val="left"/>
      </w:pPr>
      <w:r>
        <w:rPr>
          <w:rFonts w:ascii="Aptos" w:hAnsi="Aptos"/>
          <w:b/>
          <w:color w:val="09217A"/>
          <w:sz w:val="18"/>
        </w:rPr>
        <w:t>CRS-PDVS Executive Brief Series</w:t>
      </w:r>
    </w:p>
    <w:p>
      <w:pPr>
        <w:pStyle w:val="Heading1Exec"/>
      </w:pPr>
      <w:r>
        <w:t>Legal and Policy Baseline</w:t>
      </w:r>
    </w:p>
    <w:p>
      <w:pPr>
        <w:pStyle w:val="Body"/>
        <w:jc w:val="both"/>
      </w:pPr>
      <w:r>
        <w:t>Any platform that processes pensioner identity records, face capture, or biometric-linked verification data must be treated as a sensitive public-service system from the outset. Nigeria's data-protection framework and PenCom's current verification guidance both point clearly toward the same requirement: personal data must be processed for legitimate purposes and protected through documented controls.</w:t>
      </w:r>
    </w:p>
    <w:p>
      <w:pPr>
        <w:pStyle w:val="Body"/>
        <w:jc w:val="both"/>
      </w:pPr>
      <w:r>
        <w:t>Accordingly, CRS-PDVS must be designed around data minimization, lawful purpose, role-based access, encryption, retention control, and auditability.</w:t>
      </w:r>
    </w:p>
    <w:p>
      <w:pPr>
        <w:pStyle w:val="Heading1Exec"/>
      </w:pPr>
      <w:r>
        <w:t>Security Controls Required</w:t>
      </w:r>
    </w:p>
    <w:p>
      <w:pPr>
        <w:pStyle w:val="Body"/>
        <w:jc w:val="both"/>
      </w:pPr>
      <w:r>
        <w:t>The baseline control set should include encrypted transmission, protected storage of sensitive records, privileged-access separation, strong session management, verification-attempt logging, and durable audit trails on all sensitive administrative actions.</w:t>
      </w:r>
    </w:p>
    <w:p>
      <w:pPr>
        <w:pStyle w:val="Body"/>
        <w:jc w:val="both"/>
      </w:pPr>
      <w:r>
        <w:t>Within the administrative portal, no single user should have unrestricted discretion over all critical actions. Review and override actions should be attributable, time-stamped, and visible for later inspection.</w:t>
      </w:r>
    </w:p>
    <w:p>
      <w:pPr>
        <w:pStyle w:val="Heading1Exec"/>
      </w:pPr>
      <w:r>
        <w:t>Biometric Handling Position</w:t>
      </w:r>
    </w:p>
    <w:p>
      <w:pPr>
        <w:pStyle w:val="Body"/>
        <w:jc w:val="both"/>
      </w:pPr>
      <w:r>
        <w:t>The platform should avoid collecting or retaining more raw biometric material than is necessary for the approved verification workflow. The preferred design posture is controlled and minimal handling, combined with clear retention rules and tight access pathways.</w:t>
      </w:r>
    </w:p>
    <w:p>
      <w:pPr>
        <w:pStyle w:val="Body"/>
        <w:jc w:val="both"/>
      </w:pPr>
      <w:r>
        <w:t>This is not only a compliance issue. It is a trust issue. Pensioners and government reviewers must be able to see that the system is designed with restraint.</w:t>
      </w:r>
    </w:p>
    <w:p>
      <w:pPr>
        <w:pStyle w:val="Heading1Exec"/>
      </w:pPr>
      <w:r>
        <w:t>Governance Implication</w:t>
      </w:r>
    </w:p>
    <w:p>
      <w:pPr>
        <w:pStyle w:val="Body"/>
        <w:jc w:val="both"/>
      </w:pPr>
      <w:r>
        <w:t>Before implementation beyond prototype level, the State will need a clear governance position on record ownership, approval authority, support responsibility, access roles, and data-retention practice. Security in this setting is not only technical; it is institutional.</w:t>
      </w:r>
    </w:p>
    <w:p>
      <w:pPr>
        <w:pStyle w:val="Heading2Exec"/>
      </w:pPr>
      <w:r>
        <w:t>Reference Basis</w:t>
      </w:r>
    </w:p>
    <w:p>
      <w:pPr>
        <w:pStyle w:val="ListBullet"/>
        <w:spacing w:after="40"/>
      </w:pPr>
      <w:r>
        <w:t>PenCom 2026 Guidelines for Verification and Enrolment of Prospective Retirees.</w:t>
      </w:r>
    </w:p>
    <w:p>
      <w:pPr>
        <w:pStyle w:val="ListBullet"/>
        <w:spacing w:after="40"/>
      </w:pPr>
      <w:r>
        <w:t>Nigeria Data Protection Act, 2023.</w:t>
      </w:r>
    </w:p>
    <w:p>
      <w:pPr>
        <w:pStyle w:val="ListBullet"/>
        <w:spacing w:after="40"/>
      </w:pPr>
      <w:r>
        <w:t>NIMC public materials on identity verification and authentication services.</w:t>
      </w:r>
    </w:p>
    <w:sectPr w:rsidR="00FC693F" w:rsidRPr="0006063C" w:rsidSect="00034616">
      <w:headerReference w:type="default" r:id="rId9"/>
      <w:footerReference w:type="default" r:id="rId10"/>
      <w:pgSz w:w="11906" w:h="16838"/>
      <w:pgMar w:top="1134" w:right="1020" w:bottom="96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Confidential Working Draft</w:t>
    </w:r>
    <w:r>
      <w:t xml:space="preserv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432000" cy="413217"/>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1"/>
                  <a:stretch>
                    <a:fillRect/>
                  </a:stretch>
                </pic:blipFill>
                <pic:spPr>
                  <a:xfrm>
                    <a:off x="0" y="0"/>
                    <a:ext cx="432000" cy="413217"/>
                  </a:xfrm>
                  <a:prstGeom prst="rect"/>
                </pic:spPr>
              </pic:pic>
            </a:graphicData>
          </a:graphic>
        </wp:inline>
      </w:drawing>
    </w:r>
    <w:r>
      <w:rPr>
        <w:rFonts w:ascii="Aptos" w:hAnsi="Aptos"/>
        <w:b/>
        <w:color w:val="5A5A5A"/>
        <w:sz w:val="17"/>
      </w:rPr>
      <w:t xml:space="preserve">  CRS-PDVS Executive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120" w:line="276" w:lineRule="auto"/>
    </w:pPr>
    <w:rPr>
      <w:rFonts w:ascii="Aptos" w:hAnsi="Aptos"/>
      <w:color w:val="282828"/>
      <w:sz w:val="22"/>
    </w:rPr>
  </w:style>
  <w:style w:type="paragraph" w:customStyle="1" w:styleId="DocTitle">
    <w:name w:val="Doc Title"/>
    <w:pPr>
      <w:spacing w:after="120"/>
    </w:pPr>
    <w:rPr>
      <w:rFonts w:ascii="Aptos" w:hAnsi="Aptos"/>
      <w:b/>
      <w:color w:val="09217A"/>
      <w:sz w:val="40"/>
    </w:rPr>
  </w:style>
  <w:style w:type="paragraph" w:customStyle="1" w:styleId="Heading1Exec">
    <w:name w:val="Heading 1 Exec"/>
    <w:pPr>
      <w:spacing w:after="120" w:before="200"/>
    </w:pPr>
    <w:rPr>
      <w:rFonts w:ascii="Aptos" w:hAnsi="Aptos"/>
      <w:b/>
      <w:color w:val="09217A"/>
      <w:sz w:val="28"/>
    </w:rPr>
  </w:style>
  <w:style w:type="paragraph" w:customStyle="1" w:styleId="Heading2Exec">
    <w:name w:val="Heading 2 Exec"/>
    <w:pPr>
      <w:spacing w:after="120" w:before="120"/>
    </w:pPr>
    <w:rPr>
      <w:rFonts w:ascii="Aptos" w:hAnsi="Aptos"/>
      <w:b/>
      <w:color w:val="282828"/>
      <w:sz w:val="23"/>
    </w:rPr>
  </w:style>
  <w:style w:type="paragraph" w:customStyle="1" w:styleId="SmallCaps">
    <w:name w:val="Small Caps"/>
    <w:pPr>
      <w:spacing w:after="120"/>
    </w:pPr>
    <w:rPr>
      <w:rFonts w:ascii="Aptos" w:hAnsi="Aptos"/>
      <w:b w:val="0"/>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